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highlight w:val="none"/>
        </w:rPr>
      </w:pPr>
      <w:bookmarkStart w:id="18" w:name="_GoBack"/>
      <w:bookmarkEnd w:id="18"/>
      <w:r>
        <w:rPr>
          <w:rFonts w:ascii="黑体" w:hAnsi="黑体" w:eastAsia="黑体" w:cs="黑体"/>
          <w:b/>
          <w:color w:val="000000"/>
          <w:sz w:val="44"/>
          <w:highlight w:val="none"/>
        </w:rPr>
        <w:t>2022年部门预算信息公开目录</w:t>
      </w:r>
    </w:p>
    <w:p>
      <w:pPr>
        <w:jc w:val="center"/>
        <w:rPr>
          <w:highlight w:val="none"/>
        </w:rPr>
      </w:pPr>
      <w:r>
        <w:rPr>
          <w:rFonts w:ascii="黑体" w:hAnsi="黑体" w:eastAsia="黑体" w:cs="黑体"/>
          <w:b/>
          <w:color w:val="000000"/>
          <w:sz w:val="30"/>
          <w:highlight w:val="none"/>
        </w:rPr>
        <w:t xml:space="preserve"> </w:t>
      </w:r>
    </w:p>
    <w:p>
      <w:pPr>
        <w:rPr>
          <w:highlight w:val="none"/>
        </w:rPr>
      </w:pPr>
      <w:r>
        <w:rPr>
          <w:rFonts w:ascii="方正楷体_GBK" w:hAnsi="方正楷体_GBK" w:eastAsia="方正楷体_GBK" w:cs="方正楷体_GBK"/>
          <w:b/>
          <w:color w:val="000000"/>
          <w:sz w:val="28"/>
          <w:highlight w:val="none"/>
        </w:rPr>
        <w:t>部门预算公开表</w:t>
      </w:r>
    </w:p>
    <w:p>
      <w:pPr>
        <w:pStyle w:val="36"/>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highlight w:val="none"/>
        </w:rPr>
        <w:fldChar w:fldCharType="begin"/>
      </w:r>
      <w:r>
        <w:rPr>
          <w:highlight w:val="none"/>
        </w:rPr>
        <w:instrText xml:space="preserve">PAGEREF _Toc_2_2_0000000001 \h</w:instrText>
      </w:r>
      <w:r>
        <w:rPr>
          <w:highlight w:val="none"/>
        </w:rPr>
        <w:fldChar w:fldCharType="separate"/>
      </w:r>
      <w:r>
        <w:rPr>
          <w:highlight w:val="none"/>
        </w:rPr>
        <w:t>3</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highlight w:val="none"/>
        </w:rPr>
        <w:fldChar w:fldCharType="begin"/>
      </w:r>
      <w:r>
        <w:rPr>
          <w:highlight w:val="none"/>
        </w:rPr>
        <w:instrText xml:space="preserve">PAGEREF _Toc_2_2_0000000002 \h</w:instrText>
      </w:r>
      <w:r>
        <w:rPr>
          <w:highlight w:val="none"/>
        </w:rPr>
        <w:fldChar w:fldCharType="separate"/>
      </w:r>
      <w:r>
        <w:rPr>
          <w:highlight w:val="none"/>
        </w:rPr>
        <w:t>5</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6</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7</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highlight w:val="none"/>
        </w:rPr>
        <w:fldChar w:fldCharType="begin"/>
      </w:r>
      <w:r>
        <w:rPr>
          <w:highlight w:val="none"/>
        </w:rPr>
        <w:instrText xml:space="preserve">PAGEREF _Toc_2_2_0000000005 \h</w:instrText>
      </w:r>
      <w:r>
        <w:rPr>
          <w:highlight w:val="none"/>
        </w:rPr>
        <w:fldChar w:fldCharType="separate"/>
      </w:r>
      <w:r>
        <w:rPr>
          <w:highlight w:val="none"/>
        </w:rPr>
        <w:t>9</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highlight w:val="none"/>
        </w:rPr>
        <w:fldChar w:fldCharType="begin"/>
      </w:r>
      <w:r>
        <w:rPr>
          <w:highlight w:val="none"/>
        </w:rPr>
        <w:instrText xml:space="preserve">PAGEREF _Toc_2_2_0000000006 \h</w:instrText>
      </w:r>
      <w:r>
        <w:rPr>
          <w:highlight w:val="none"/>
        </w:rPr>
        <w:fldChar w:fldCharType="separate"/>
      </w:r>
      <w:r>
        <w:rPr>
          <w:highlight w:val="none"/>
        </w:rPr>
        <w:t>10</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部门预算政府基金预算财政拨款支出表</w:t>
      </w:r>
      <w:r>
        <w:rPr>
          <w:highlight w:val="none"/>
        </w:rPr>
        <w:tab/>
      </w:r>
      <w:r>
        <w:rPr>
          <w:highlight w:val="none"/>
        </w:rPr>
        <w:fldChar w:fldCharType="begin"/>
      </w:r>
      <w:r>
        <w:rPr>
          <w:highlight w:val="none"/>
        </w:rPr>
        <w:instrText xml:space="preserve">PAGEREF _Toc_2_2_0000000007 \h</w:instrText>
      </w:r>
      <w:r>
        <w:rPr>
          <w:highlight w:val="none"/>
        </w:rPr>
        <w:fldChar w:fldCharType="separate"/>
      </w:r>
      <w:r>
        <w:rPr>
          <w:highlight w:val="none"/>
        </w:rPr>
        <w:t>11</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highlight w:val="none"/>
        </w:rPr>
        <w:fldChar w:fldCharType="begin"/>
      </w:r>
      <w:r>
        <w:rPr>
          <w:highlight w:val="none"/>
        </w:rPr>
        <w:instrText xml:space="preserve">PAGEREF _Toc_2_2_0000000008 \h</w:instrText>
      </w:r>
      <w:r>
        <w:rPr>
          <w:highlight w:val="none"/>
        </w:rPr>
        <w:fldChar w:fldCharType="separate"/>
      </w:r>
      <w:r>
        <w:rPr>
          <w:highlight w:val="none"/>
        </w:rPr>
        <w:t>12</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highlight w:val="none"/>
        </w:rPr>
        <w:fldChar w:fldCharType="begin"/>
      </w:r>
      <w:r>
        <w:rPr>
          <w:highlight w:val="none"/>
        </w:rPr>
        <w:instrText xml:space="preserve">PAGEREF _Toc_2_2_0000000009 \h</w:instrText>
      </w:r>
      <w:r>
        <w:rPr>
          <w:highlight w:val="none"/>
        </w:rPr>
        <w:fldChar w:fldCharType="separate"/>
      </w:r>
      <w:r>
        <w:rPr>
          <w:highlight w:val="none"/>
        </w:rPr>
        <w:t>13</w:t>
      </w:r>
      <w:r>
        <w:rPr>
          <w:highlight w:val="none"/>
        </w:rPr>
        <w:fldChar w:fldCharType="end"/>
      </w:r>
      <w:r>
        <w:rPr>
          <w:highlight w:val="none"/>
        </w:rPr>
        <w:fldChar w:fldCharType="end"/>
      </w:r>
    </w:p>
    <w:p>
      <w:pPr>
        <w:rPr>
          <w:highlight w:val="none"/>
        </w:rPr>
      </w:pPr>
      <w:r>
        <w:rPr>
          <w:highlight w:val="none"/>
        </w:rPr>
        <w:fldChar w:fldCharType="end"/>
      </w:r>
    </w:p>
    <w:p>
      <w:pPr>
        <w:rPr>
          <w:highlight w:val="none"/>
        </w:rPr>
      </w:pPr>
      <w:r>
        <w:rPr>
          <w:rFonts w:ascii="方正楷体_GBK" w:hAnsi="方正楷体_GBK" w:eastAsia="方正楷体_GBK" w:cs="方正楷体_GBK"/>
          <w:b/>
          <w:color w:val="000000"/>
          <w:sz w:val="28"/>
          <w:highlight w:val="none"/>
        </w:rPr>
        <w:t>部门预算信息公开情况说明</w:t>
      </w:r>
    </w:p>
    <w:p>
      <w:pPr>
        <w:pStyle w:val="36"/>
        <w:tabs>
          <w:tab w:val="right" w:leader="dot" w:pos="14562"/>
        </w:tabs>
        <w:rPr>
          <w:highlight w:val="none"/>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highlight w:val="none"/>
        </w:rPr>
        <w:fldChar w:fldCharType="begin"/>
      </w:r>
      <w:r>
        <w:rPr>
          <w:highlight w:val="none"/>
        </w:rPr>
        <w:instrText xml:space="preserve">PAGEREF _Toc_3_3_0000000010 \h</w:instrText>
      </w:r>
      <w:r>
        <w:rPr>
          <w:highlight w:val="none"/>
        </w:rPr>
        <w:fldChar w:fldCharType="separate"/>
      </w:r>
      <w:r>
        <w:rPr>
          <w:highlight w:val="none"/>
        </w:rPr>
        <w:t>14</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highlight w:val="none"/>
        </w:rPr>
        <w:fldChar w:fldCharType="begin"/>
      </w:r>
      <w:r>
        <w:rPr>
          <w:highlight w:val="none"/>
        </w:rPr>
        <w:instrText xml:space="preserve">PAGEREF _Toc_3_3_0000000011 \h</w:instrText>
      </w:r>
      <w:r>
        <w:rPr>
          <w:highlight w:val="none"/>
        </w:rPr>
        <w:fldChar w:fldCharType="separate"/>
      </w:r>
      <w:r>
        <w:rPr>
          <w:highlight w:val="none"/>
        </w:rPr>
        <w:t>14</w:t>
      </w:r>
      <w:r>
        <w:rPr>
          <w:highlight w:val="none"/>
        </w:rPr>
        <w:fldChar w:fldCharType="end"/>
      </w:r>
      <w:r>
        <w:rPr>
          <w:highlight w:val="none"/>
        </w:rPr>
        <w:fldChar w:fldCharType="end"/>
      </w:r>
    </w:p>
    <w:p>
      <w:pPr>
        <w:pStyle w:val="36"/>
        <w:tabs>
          <w:tab w:val="right" w:leader="dot" w:pos="14562"/>
        </w:tabs>
        <w:rPr>
          <w:highlight w:val="none"/>
          <w:lang w:eastAsia="zh-CN"/>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highlight w:val="none"/>
        </w:rPr>
        <w:fldChar w:fldCharType="begin"/>
      </w:r>
      <w:r>
        <w:rPr>
          <w:highlight w:val="none"/>
        </w:rPr>
        <w:instrText xml:space="preserve">PAGEREF _Toc_3_3_0000000012 \h</w:instrText>
      </w:r>
      <w:r>
        <w:rPr>
          <w:highlight w:val="none"/>
        </w:rPr>
        <w:fldChar w:fldCharType="separate"/>
      </w:r>
      <w:r>
        <w:rPr>
          <w:highlight w:val="none"/>
        </w:rPr>
        <w:t>15</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highlight w:val="none"/>
        </w:rPr>
        <w:fldChar w:fldCharType="begin"/>
      </w:r>
      <w:r>
        <w:rPr>
          <w:highlight w:val="none"/>
        </w:rPr>
        <w:instrText xml:space="preserve">PAGEREF _Toc_3_3_0000000013 \h</w:instrText>
      </w:r>
      <w:r>
        <w:rPr>
          <w:highlight w:val="none"/>
        </w:rPr>
        <w:fldChar w:fldCharType="separate"/>
      </w:r>
      <w:r>
        <w:rPr>
          <w:highlight w:val="none"/>
        </w:rPr>
        <w:t>15</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五、预算绩效信息</w:t>
      </w:r>
      <w:r>
        <w:rPr>
          <w:highlight w:val="none"/>
        </w:rPr>
        <w:tab/>
      </w:r>
      <w:r>
        <w:rPr>
          <w:highlight w:val="none"/>
        </w:rPr>
        <w:fldChar w:fldCharType="begin"/>
      </w:r>
      <w:r>
        <w:rPr>
          <w:highlight w:val="none"/>
        </w:rPr>
        <w:instrText xml:space="preserve">PAGEREF _Toc_3_3_0000000014 \h</w:instrText>
      </w:r>
      <w:r>
        <w:rPr>
          <w:highlight w:val="none"/>
        </w:rPr>
        <w:fldChar w:fldCharType="separate"/>
      </w:r>
      <w:r>
        <w:rPr>
          <w:highlight w:val="none"/>
        </w:rPr>
        <w:t>16</w:t>
      </w:r>
      <w:r>
        <w:rPr>
          <w:highlight w:val="none"/>
        </w:rPr>
        <w:fldChar w:fldCharType="end"/>
      </w:r>
      <w:r>
        <w:rPr>
          <w:highlight w:val="none"/>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六、政府采购预算情况</w:t>
      </w:r>
      <w:r>
        <w:rPr>
          <w:highlight w:val="none"/>
        </w:rPr>
        <w:tab/>
      </w:r>
      <w:r>
        <w:rPr>
          <w:rFonts w:hint="eastAsia"/>
          <w:highlight w:val="none"/>
          <w:lang w:eastAsia="zh-CN"/>
        </w:rPr>
        <w:t>20</w:t>
      </w:r>
      <w:r>
        <w:rPr>
          <w:rFonts w:hint="eastAsia"/>
          <w:highlight w:val="none"/>
          <w:lang w:eastAsia="zh-CN"/>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七、国有资产信息</w:t>
      </w:r>
      <w:r>
        <w:rPr>
          <w:highlight w:val="none"/>
        </w:rPr>
        <w:tab/>
      </w:r>
      <w:r>
        <w:rPr>
          <w:rFonts w:hint="eastAsia"/>
          <w:highlight w:val="none"/>
          <w:lang w:eastAsia="zh-CN"/>
        </w:rPr>
        <w:t>20</w:t>
      </w:r>
      <w:r>
        <w:rPr>
          <w:rFonts w:hint="eastAsia"/>
          <w:highlight w:val="none"/>
          <w:lang w:eastAsia="zh-CN"/>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八、名词解释</w:t>
      </w:r>
      <w:r>
        <w:rPr>
          <w:highlight w:val="none"/>
        </w:rPr>
        <w:tab/>
      </w:r>
      <w:r>
        <w:rPr>
          <w:rFonts w:hint="eastAsia"/>
          <w:highlight w:val="none"/>
          <w:lang w:eastAsia="zh-CN"/>
        </w:rPr>
        <w:t>21</w:t>
      </w:r>
      <w:r>
        <w:rPr>
          <w:rFonts w:hint="eastAsia"/>
          <w:highlight w:val="none"/>
          <w:lang w:eastAsia="zh-CN"/>
        </w:rPr>
        <w:fldChar w:fldCharType="end"/>
      </w:r>
    </w:p>
    <w:p>
      <w:pPr>
        <w:pStyle w:val="36"/>
        <w:tabs>
          <w:tab w:val="right" w:leader="dot" w:pos="14562"/>
        </w:tabs>
        <w:rPr>
          <w:highlight w:val="none"/>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九、其他需要说明的事项</w:t>
      </w:r>
      <w:r>
        <w:rPr>
          <w:highlight w:val="none"/>
        </w:rPr>
        <w:tab/>
      </w:r>
      <w:r>
        <w:rPr>
          <w:highlight w:val="none"/>
        </w:rPr>
        <w:fldChar w:fldCharType="begin"/>
      </w:r>
      <w:r>
        <w:rPr>
          <w:highlight w:val="none"/>
        </w:rPr>
        <w:instrText xml:space="preserve">PAGEREF _Toc_3_3_0000000018 \h</w:instrText>
      </w:r>
      <w:r>
        <w:rPr>
          <w:highlight w:val="none"/>
        </w:rPr>
        <w:fldChar w:fldCharType="separate"/>
      </w:r>
      <w:r>
        <w:rPr>
          <w:highlight w:val="none"/>
        </w:rPr>
        <w:t>23</w:t>
      </w:r>
      <w:r>
        <w:rPr>
          <w:highlight w:val="none"/>
        </w:rPr>
        <w:fldChar w:fldCharType="end"/>
      </w:r>
      <w:r>
        <w:rPr>
          <w:highlight w:val="none"/>
        </w:rPr>
        <w:fldChar w:fldCharType="end"/>
      </w:r>
    </w:p>
    <w:p>
      <w:pPr>
        <w:rPr>
          <w:highlight w:val="none"/>
        </w:rPr>
      </w:pPr>
      <w:r>
        <w:rPr>
          <w:highlight w:val="none"/>
        </w:rPr>
        <w:fldChar w:fldCharType="end"/>
      </w: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rFonts w:eastAsiaTheme="minorEastAsia"/>
          <w:highlight w:val="none"/>
          <w:lang w:eastAsia="zh-CN"/>
        </w:rPr>
      </w:pPr>
    </w:p>
    <w:p>
      <w:pPr>
        <w:jc w:val="center"/>
        <w:rPr>
          <w:highlight w:val="none"/>
        </w:rPr>
      </w:pPr>
      <w:r>
        <w:rPr>
          <w:rFonts w:ascii="方正小标宋_GBK" w:hAnsi="方正小标宋_GBK" w:eastAsia="方正小标宋_GBK" w:cs="方正小标宋_GBK"/>
          <w:color w:val="000000"/>
          <w:sz w:val="44"/>
          <w:highlight w:val="none"/>
        </w:rPr>
        <w:t xml:space="preserve"> </w:t>
      </w:r>
    </w:p>
    <w:p>
      <w:pPr>
        <w:jc w:val="center"/>
        <w:rPr>
          <w:highlight w:val="none"/>
        </w:rPr>
      </w:pPr>
      <w:r>
        <w:rPr>
          <w:rFonts w:ascii="方正小标宋_GBK" w:hAnsi="方正小标宋_GBK" w:eastAsia="方正小标宋_GBK" w:cs="方正小标宋_GBK"/>
          <w:color w:val="000000"/>
          <w:sz w:val="44"/>
          <w:highlight w:val="none"/>
        </w:rPr>
        <w:t xml:space="preserve"> </w:t>
      </w:r>
    </w:p>
    <w:p>
      <w:pPr>
        <w:jc w:val="center"/>
        <w:rPr>
          <w:highlight w:val="none"/>
        </w:rPr>
      </w:pPr>
      <w:r>
        <w:rPr>
          <w:rFonts w:ascii="方正小标宋_GBK" w:hAnsi="方正小标宋_GBK" w:eastAsia="方正小标宋_GBK" w:cs="方正小标宋_GBK"/>
          <w:color w:val="000000"/>
          <w:sz w:val="44"/>
          <w:highlight w:val="none"/>
        </w:rPr>
        <w:t xml:space="preserve"> </w:t>
      </w:r>
    </w:p>
    <w:p>
      <w:pPr>
        <w:jc w:val="center"/>
        <w:rPr>
          <w:highlight w:val="none"/>
        </w:rPr>
      </w:pPr>
      <w:r>
        <w:rPr>
          <w:rFonts w:ascii="方正小标宋_GBK" w:hAnsi="方正小标宋_GBK" w:eastAsia="方正小标宋_GBK" w:cs="方正小标宋_GBK"/>
          <w:color w:val="000000"/>
          <w:sz w:val="44"/>
          <w:highlight w:val="none"/>
        </w:rPr>
        <w:t xml:space="preserve"> </w:t>
      </w:r>
    </w:p>
    <w:p>
      <w:pPr>
        <w:jc w:val="center"/>
        <w:outlineLvl w:val="0"/>
        <w:rPr>
          <w:rFonts w:hint="eastAsia" w:ascii="方正小标宋_GBK" w:hAnsi="方正小标宋_GBK" w:cs="方正小标宋_GBK" w:eastAsiaTheme="minorEastAsia"/>
          <w:color w:val="000000"/>
          <w:sz w:val="72"/>
          <w:highlight w:val="none"/>
          <w:lang w:eastAsia="zh-CN"/>
        </w:rPr>
      </w:pPr>
    </w:p>
    <w:p>
      <w:pPr>
        <w:jc w:val="center"/>
        <w:outlineLvl w:val="1"/>
        <w:rPr>
          <w:highlight w:val="none"/>
        </w:rPr>
      </w:pPr>
      <w:bookmarkStart w:id="0" w:name="_Toc_2_2_0000000001"/>
      <w:r>
        <w:rPr>
          <w:rFonts w:ascii="方正小标宋_GBK" w:hAnsi="方正小标宋_GBK" w:eastAsia="方正小标宋_GBK" w:cs="方正小标宋_GBK"/>
          <w:color w:val="000000"/>
          <w:sz w:val="36"/>
          <w:highlight w:val="none"/>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126" w:type="dxa"/>
            <w:tcBorders>
              <w:top w:val="single" w:color="FFFFFF" w:sz="6" w:space="0"/>
              <w:left w:val="single" w:color="FFFFFF" w:sz="6" w:space="0"/>
              <w:right w:val="single" w:color="FFFFFF" w:sz="6" w:space="0"/>
            </w:tcBorders>
            <w:vAlign w:val="center"/>
          </w:tcPr>
          <w:p>
            <w:pPr>
              <w:pStyle w:val="8"/>
              <w:rPr>
                <w:highlight w:val="none"/>
              </w:rPr>
            </w:pPr>
            <w:r>
              <w:rPr>
                <w:rFonts w:hint="eastAsia" w:eastAsiaTheme="minorEastAsia"/>
                <w:highlight w:val="none"/>
                <w:lang w:eastAsia="zh-CN"/>
              </w:rPr>
              <w:t xml:space="preserve"> </w:t>
            </w: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6662" w:type="dxa"/>
            <w:gridSpan w:val="2"/>
            <w:vAlign w:val="center"/>
          </w:tcPr>
          <w:p>
            <w:pPr>
              <w:pStyle w:val="10"/>
              <w:rPr>
                <w:highlight w:val="none"/>
              </w:rPr>
            </w:pPr>
            <w:r>
              <w:rPr>
                <w:highlight w:val="none"/>
              </w:rPr>
              <w:t>收入</w:t>
            </w:r>
          </w:p>
        </w:tc>
        <w:tc>
          <w:tcPr>
            <w:tcW w:w="6661" w:type="dxa"/>
            <w:gridSpan w:val="2"/>
            <w:vAlign w:val="center"/>
          </w:tcPr>
          <w:p>
            <w:pPr>
              <w:pStyle w:val="10"/>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6" w:type="dxa"/>
            <w:vAlign w:val="center"/>
          </w:tcPr>
          <w:p>
            <w:pPr>
              <w:pStyle w:val="10"/>
              <w:rPr>
                <w:highlight w:val="none"/>
              </w:rPr>
            </w:pPr>
            <w:r>
              <w:rPr>
                <w:highlight w:val="none"/>
              </w:rPr>
              <w:t>项  目</w:t>
            </w:r>
          </w:p>
        </w:tc>
        <w:tc>
          <w:tcPr>
            <w:tcW w:w="2126" w:type="dxa"/>
            <w:vAlign w:val="center"/>
          </w:tcPr>
          <w:p>
            <w:pPr>
              <w:pStyle w:val="10"/>
              <w:rPr>
                <w:highlight w:val="none"/>
              </w:rPr>
            </w:pPr>
            <w:r>
              <w:rPr>
                <w:highlight w:val="none"/>
              </w:rPr>
              <w:t>预算数</w:t>
            </w:r>
          </w:p>
        </w:tc>
        <w:tc>
          <w:tcPr>
            <w:tcW w:w="4535" w:type="dxa"/>
            <w:vAlign w:val="center"/>
          </w:tcPr>
          <w:p>
            <w:pPr>
              <w:pStyle w:val="10"/>
              <w:rPr>
                <w:highlight w:val="none"/>
              </w:rPr>
            </w:pPr>
            <w:r>
              <w:rPr>
                <w:highlight w:val="none"/>
              </w:rPr>
              <w:t>项  目</w:t>
            </w:r>
          </w:p>
        </w:tc>
        <w:tc>
          <w:tcPr>
            <w:tcW w:w="2126" w:type="dxa"/>
            <w:vAlign w:val="center"/>
          </w:tcPr>
          <w:p>
            <w:pPr>
              <w:pStyle w:val="10"/>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4536" w:type="dxa"/>
            <w:vAlign w:val="center"/>
          </w:tcPr>
          <w:p>
            <w:pPr>
              <w:pStyle w:val="10"/>
              <w:rPr>
                <w:highlight w:val="none"/>
              </w:rPr>
            </w:pPr>
            <w:r>
              <w:rPr>
                <w:highlight w:val="none"/>
              </w:rPr>
              <w:t>1</w:t>
            </w:r>
          </w:p>
        </w:tc>
        <w:tc>
          <w:tcPr>
            <w:tcW w:w="2126" w:type="dxa"/>
            <w:vAlign w:val="center"/>
          </w:tcPr>
          <w:p>
            <w:pPr>
              <w:pStyle w:val="10"/>
              <w:rPr>
                <w:highlight w:val="none"/>
              </w:rPr>
            </w:pPr>
            <w:r>
              <w:rPr>
                <w:highlight w:val="none"/>
              </w:rPr>
              <w:t>2</w:t>
            </w:r>
          </w:p>
        </w:tc>
        <w:tc>
          <w:tcPr>
            <w:tcW w:w="4535" w:type="dxa"/>
            <w:vAlign w:val="center"/>
          </w:tcPr>
          <w:p>
            <w:pPr>
              <w:pStyle w:val="10"/>
              <w:rPr>
                <w:highlight w:val="none"/>
              </w:rPr>
            </w:pPr>
            <w:r>
              <w:rPr>
                <w:highlight w:val="none"/>
              </w:rPr>
              <w:t>3</w:t>
            </w:r>
          </w:p>
        </w:tc>
        <w:tc>
          <w:tcPr>
            <w:tcW w:w="2126" w:type="dxa"/>
            <w:vAlign w:val="center"/>
          </w:tcPr>
          <w:p>
            <w:pPr>
              <w:pStyle w:val="10"/>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w:t>
            </w:r>
          </w:p>
        </w:tc>
        <w:tc>
          <w:tcPr>
            <w:tcW w:w="4536" w:type="dxa"/>
            <w:vAlign w:val="center"/>
          </w:tcPr>
          <w:p>
            <w:pPr>
              <w:pStyle w:val="12"/>
              <w:rPr>
                <w:highlight w:val="none"/>
              </w:rPr>
            </w:pPr>
            <w:r>
              <w:rPr>
                <w:highlight w:val="none"/>
              </w:rPr>
              <w:t>一、一般公共预算拨款收入</w:t>
            </w:r>
          </w:p>
        </w:tc>
        <w:tc>
          <w:tcPr>
            <w:tcW w:w="2126" w:type="dxa"/>
            <w:vAlign w:val="center"/>
          </w:tcPr>
          <w:p>
            <w:pPr>
              <w:pStyle w:val="11"/>
              <w:rPr>
                <w:highlight w:val="none"/>
              </w:rPr>
            </w:pPr>
            <w:r>
              <w:rPr>
                <w:highlight w:val="none"/>
              </w:rPr>
              <w:t>87.89</w:t>
            </w:r>
          </w:p>
        </w:tc>
        <w:tc>
          <w:tcPr>
            <w:tcW w:w="4535" w:type="dxa"/>
            <w:vAlign w:val="center"/>
          </w:tcPr>
          <w:p>
            <w:pPr>
              <w:pStyle w:val="12"/>
              <w:rPr>
                <w:highlight w:val="none"/>
              </w:rPr>
            </w:pPr>
            <w:r>
              <w:rPr>
                <w:highlight w:val="none"/>
              </w:rPr>
              <w:t>一、一般公共服务支出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w:t>
            </w:r>
          </w:p>
        </w:tc>
        <w:tc>
          <w:tcPr>
            <w:tcW w:w="4536" w:type="dxa"/>
            <w:vAlign w:val="center"/>
          </w:tcPr>
          <w:p>
            <w:pPr>
              <w:pStyle w:val="12"/>
              <w:rPr>
                <w:highlight w:val="none"/>
              </w:rPr>
            </w:pPr>
            <w:r>
              <w:rPr>
                <w:highlight w:val="none"/>
              </w:rPr>
              <w:t>二、政府性基金预算拨款收入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二、外交支出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w:t>
            </w:r>
          </w:p>
        </w:tc>
        <w:tc>
          <w:tcPr>
            <w:tcW w:w="4536" w:type="dxa"/>
            <w:vAlign w:val="center"/>
          </w:tcPr>
          <w:p>
            <w:pPr>
              <w:pStyle w:val="12"/>
              <w:rPr>
                <w:highlight w:val="none"/>
              </w:rPr>
            </w:pPr>
            <w:r>
              <w:rPr>
                <w:highlight w:val="none"/>
              </w:rPr>
              <w:t>三、国有资本经营预算拨款收入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三、国防支出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4</w:t>
            </w:r>
          </w:p>
        </w:tc>
        <w:tc>
          <w:tcPr>
            <w:tcW w:w="4536" w:type="dxa"/>
            <w:vAlign w:val="center"/>
          </w:tcPr>
          <w:p>
            <w:pPr>
              <w:pStyle w:val="12"/>
              <w:rPr>
                <w:highlight w:val="none"/>
              </w:rPr>
            </w:pPr>
            <w:r>
              <w:rPr>
                <w:highlight w:val="none"/>
              </w:rPr>
              <w:t>四、财政专户管理资金收入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四、公共安全支出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5</w:t>
            </w:r>
          </w:p>
        </w:tc>
        <w:tc>
          <w:tcPr>
            <w:tcW w:w="4536" w:type="dxa"/>
            <w:vAlign w:val="center"/>
          </w:tcPr>
          <w:p>
            <w:pPr>
              <w:pStyle w:val="12"/>
              <w:rPr>
                <w:highlight w:val="none"/>
              </w:rPr>
            </w:pPr>
            <w:r>
              <w:rPr>
                <w:highlight w:val="none"/>
              </w:rPr>
              <w:t>五、事业收入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五、教育支出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6</w:t>
            </w:r>
          </w:p>
        </w:tc>
        <w:tc>
          <w:tcPr>
            <w:tcW w:w="4536" w:type="dxa"/>
            <w:vAlign w:val="center"/>
          </w:tcPr>
          <w:p>
            <w:pPr>
              <w:pStyle w:val="12"/>
              <w:rPr>
                <w:highlight w:val="none"/>
              </w:rPr>
            </w:pPr>
            <w:r>
              <w:rPr>
                <w:highlight w:val="none"/>
              </w:rPr>
              <w:t>六、事业单位经营收入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六、科学技术支出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7</w:t>
            </w:r>
          </w:p>
        </w:tc>
        <w:tc>
          <w:tcPr>
            <w:tcW w:w="4536" w:type="dxa"/>
            <w:vAlign w:val="center"/>
          </w:tcPr>
          <w:p>
            <w:pPr>
              <w:pStyle w:val="12"/>
              <w:rPr>
                <w:highlight w:val="none"/>
              </w:rPr>
            </w:pPr>
            <w:r>
              <w:rPr>
                <w:highlight w:val="none"/>
              </w:rPr>
              <w:t>七、上级补助收入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七、文化旅游体育与传媒支出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8</w:t>
            </w:r>
          </w:p>
        </w:tc>
        <w:tc>
          <w:tcPr>
            <w:tcW w:w="4536" w:type="dxa"/>
            <w:vAlign w:val="center"/>
          </w:tcPr>
          <w:p>
            <w:pPr>
              <w:pStyle w:val="12"/>
              <w:rPr>
                <w:highlight w:val="none"/>
              </w:rPr>
            </w:pPr>
            <w:r>
              <w:rPr>
                <w:highlight w:val="none"/>
              </w:rPr>
              <w:t>八、附属单位上缴收入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八、社会保障和就业支出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9</w:t>
            </w:r>
          </w:p>
        </w:tc>
        <w:tc>
          <w:tcPr>
            <w:tcW w:w="4536" w:type="dxa"/>
            <w:vAlign w:val="center"/>
          </w:tcPr>
          <w:p>
            <w:pPr>
              <w:pStyle w:val="12"/>
              <w:rPr>
                <w:highlight w:val="none"/>
              </w:rPr>
            </w:pPr>
            <w:r>
              <w:rPr>
                <w:highlight w:val="none"/>
              </w:rPr>
              <w:t>九、其他收入</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九、社会保险基金支出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10</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十、卫生健康支出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11</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十一、节能环保支出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12</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十二、城乡社区支出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13</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十三、农林水支出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14</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十四、交通运输支出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15</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十五、资源勘探工业信息等支出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16</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十六、商业服务业等支出</w:t>
            </w:r>
          </w:p>
        </w:tc>
        <w:tc>
          <w:tcPr>
            <w:tcW w:w="2126" w:type="dxa"/>
            <w:vAlign w:val="center"/>
          </w:tcPr>
          <w:p>
            <w:pPr>
              <w:pStyle w:val="11"/>
              <w:rPr>
                <w:highlight w:val="none"/>
              </w:rPr>
            </w:pPr>
            <w:r>
              <w:rPr>
                <w:highlight w:val="none"/>
              </w:rP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17</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十七、金融支出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18</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十八、援助其他地区支出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19</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十九、自然资源海洋气象等支出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20</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二十、住房保障支出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21</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二十一、粮油物资储备支出</w:t>
            </w:r>
          </w:p>
        </w:tc>
        <w:tc>
          <w:tcPr>
            <w:tcW w:w="2126" w:type="dxa"/>
            <w:vAlign w:val="center"/>
          </w:tcPr>
          <w:p>
            <w:pPr>
              <w:pStyle w:val="11"/>
              <w:rPr>
                <w:highlight w:val="none"/>
              </w:rPr>
            </w:pPr>
            <w:r>
              <w:rPr>
                <w:highlight w:val="none"/>
              </w:rPr>
              <w:t>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22</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二十二、国有资本经营预算支出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23</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二十三、灾害防治及应急管理支出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24</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二十四、预备费</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25</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二十五、其他支出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26</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二十六、转移性支出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27</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二十七、债务还本支出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28</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二十八、债务付息支出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29</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二十九、债务发行费用支出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30</w:t>
            </w:r>
          </w:p>
        </w:tc>
        <w:tc>
          <w:tcPr>
            <w:tcW w:w="4536" w:type="dxa"/>
            <w:vAlign w:val="center"/>
          </w:tcPr>
          <w:p>
            <w:pPr>
              <w:pStyle w:val="12"/>
              <w:rPr>
                <w:highlight w:val="none"/>
              </w:rPr>
            </w:pPr>
          </w:p>
        </w:tc>
        <w:tc>
          <w:tcPr>
            <w:tcW w:w="2126" w:type="dxa"/>
            <w:vAlign w:val="center"/>
          </w:tcPr>
          <w:p>
            <w:pPr>
              <w:pStyle w:val="11"/>
              <w:rPr>
                <w:highlight w:val="none"/>
              </w:rPr>
            </w:pPr>
          </w:p>
        </w:tc>
        <w:tc>
          <w:tcPr>
            <w:tcW w:w="4535" w:type="dxa"/>
            <w:vAlign w:val="center"/>
          </w:tcPr>
          <w:p>
            <w:pPr>
              <w:pStyle w:val="12"/>
              <w:rPr>
                <w:highlight w:val="none"/>
              </w:rPr>
            </w:pPr>
            <w:r>
              <w:rPr>
                <w:highlight w:val="none"/>
              </w:rPr>
              <w:t>三十、抗疫特别国债安排的支出</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31</w:t>
            </w:r>
          </w:p>
        </w:tc>
        <w:tc>
          <w:tcPr>
            <w:tcW w:w="4536" w:type="dxa"/>
            <w:vAlign w:val="center"/>
          </w:tcPr>
          <w:p>
            <w:pPr>
              <w:pStyle w:val="14"/>
              <w:rPr>
                <w:highlight w:val="none"/>
              </w:rPr>
            </w:pPr>
            <w:r>
              <w:rPr>
                <w:highlight w:val="none"/>
              </w:rPr>
              <w:t>本年收入合计</w:t>
            </w:r>
          </w:p>
        </w:tc>
        <w:tc>
          <w:tcPr>
            <w:tcW w:w="2126" w:type="dxa"/>
            <w:vAlign w:val="center"/>
          </w:tcPr>
          <w:p>
            <w:pPr>
              <w:pStyle w:val="15"/>
              <w:rPr>
                <w:highlight w:val="none"/>
              </w:rPr>
            </w:pPr>
            <w:r>
              <w:rPr>
                <w:highlight w:val="none"/>
              </w:rPr>
              <w:t>87.89</w:t>
            </w:r>
          </w:p>
        </w:tc>
        <w:tc>
          <w:tcPr>
            <w:tcW w:w="4535" w:type="dxa"/>
            <w:vAlign w:val="center"/>
          </w:tcPr>
          <w:p>
            <w:pPr>
              <w:pStyle w:val="14"/>
              <w:rPr>
                <w:highlight w:val="none"/>
              </w:rPr>
            </w:pPr>
            <w:r>
              <w:rPr>
                <w:highlight w:val="none"/>
              </w:rPr>
              <w:t>本年支出合计</w:t>
            </w:r>
          </w:p>
        </w:tc>
        <w:tc>
          <w:tcPr>
            <w:tcW w:w="2126" w:type="dxa"/>
            <w:vAlign w:val="center"/>
          </w:tcPr>
          <w:p>
            <w:pPr>
              <w:pStyle w:val="15"/>
              <w:rPr>
                <w:highlight w:val="none"/>
              </w:rPr>
            </w:pPr>
            <w:r>
              <w:rPr>
                <w:highlight w:val="none"/>
              </w:rPr>
              <w:t>87.89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32</w:t>
            </w:r>
          </w:p>
        </w:tc>
        <w:tc>
          <w:tcPr>
            <w:tcW w:w="4536" w:type="dxa"/>
            <w:vAlign w:val="center"/>
          </w:tcPr>
          <w:p>
            <w:pPr>
              <w:pStyle w:val="12"/>
              <w:rPr>
                <w:highlight w:val="none"/>
              </w:rPr>
            </w:pPr>
            <w:r>
              <w:rPr>
                <w:highlight w:val="none"/>
              </w:rPr>
              <w:t>上年结转结余</w:t>
            </w:r>
          </w:p>
        </w:tc>
        <w:tc>
          <w:tcPr>
            <w:tcW w:w="2126" w:type="dxa"/>
            <w:vAlign w:val="center"/>
          </w:tcPr>
          <w:p>
            <w:pPr>
              <w:pStyle w:val="11"/>
              <w:rPr>
                <w:highlight w:val="none"/>
              </w:rPr>
            </w:pPr>
          </w:p>
        </w:tc>
        <w:tc>
          <w:tcPr>
            <w:tcW w:w="4535" w:type="dxa"/>
            <w:vAlign w:val="center"/>
          </w:tcPr>
          <w:p>
            <w:pPr>
              <w:pStyle w:val="12"/>
              <w:rPr>
                <w:highlight w:val="none"/>
              </w:rPr>
            </w:pPr>
            <w:r>
              <w:rPr>
                <w:highlight w:val="none"/>
              </w:rPr>
              <w:t>年终结转结余</w:t>
            </w:r>
          </w:p>
        </w:tc>
        <w:tc>
          <w:tcPr>
            <w:tcW w:w="2126"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33</w:t>
            </w:r>
          </w:p>
        </w:tc>
        <w:tc>
          <w:tcPr>
            <w:tcW w:w="4536" w:type="dxa"/>
            <w:vAlign w:val="center"/>
          </w:tcPr>
          <w:p>
            <w:pPr>
              <w:pStyle w:val="14"/>
              <w:rPr>
                <w:highlight w:val="none"/>
              </w:rPr>
            </w:pPr>
            <w:r>
              <w:rPr>
                <w:highlight w:val="none"/>
              </w:rPr>
              <w:t>收入总计</w:t>
            </w:r>
          </w:p>
        </w:tc>
        <w:tc>
          <w:tcPr>
            <w:tcW w:w="2126" w:type="dxa"/>
            <w:vAlign w:val="center"/>
          </w:tcPr>
          <w:p>
            <w:pPr>
              <w:pStyle w:val="15"/>
              <w:rPr>
                <w:highlight w:val="none"/>
              </w:rPr>
            </w:pPr>
            <w:r>
              <w:rPr>
                <w:highlight w:val="none"/>
              </w:rPr>
              <w:t>87.89</w:t>
            </w:r>
          </w:p>
        </w:tc>
        <w:tc>
          <w:tcPr>
            <w:tcW w:w="4535" w:type="dxa"/>
            <w:vAlign w:val="center"/>
          </w:tcPr>
          <w:p>
            <w:pPr>
              <w:pStyle w:val="14"/>
              <w:rPr>
                <w:highlight w:val="none"/>
              </w:rPr>
            </w:pPr>
            <w:r>
              <w:rPr>
                <w:highlight w:val="none"/>
              </w:rPr>
              <w:t>支出总计</w:t>
            </w:r>
          </w:p>
        </w:tc>
        <w:tc>
          <w:tcPr>
            <w:tcW w:w="2126" w:type="dxa"/>
            <w:vAlign w:val="center"/>
          </w:tcPr>
          <w:p>
            <w:pPr>
              <w:pStyle w:val="15"/>
              <w:rPr>
                <w:highlight w:val="none"/>
              </w:rPr>
            </w:pPr>
            <w:r>
              <w:rPr>
                <w:highlight w:val="none"/>
              </w:rPr>
              <w:t>87.89</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3402" w:type="dxa"/>
            <w:gridSpan w:val="3"/>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670" w:type="dxa"/>
            <w:gridSpan w:val="5"/>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rPr>
                <w:highlight w:val="none"/>
              </w:rPr>
            </w:pPr>
            <w:r>
              <w:rPr>
                <w:highlight w:val="none"/>
              </w:rPr>
              <w:t>序号</w:t>
            </w:r>
          </w:p>
        </w:tc>
        <w:tc>
          <w:tcPr>
            <w:tcW w:w="2551" w:type="dxa"/>
            <w:gridSpan w:val="2"/>
            <w:vAlign w:val="center"/>
          </w:tcPr>
          <w:p>
            <w:pPr>
              <w:pStyle w:val="10"/>
              <w:rPr>
                <w:highlight w:val="none"/>
              </w:rPr>
            </w:pPr>
            <w:r>
              <w:rPr>
                <w:highlight w:val="none"/>
              </w:rPr>
              <w:t>功能分类科目</w:t>
            </w:r>
          </w:p>
        </w:tc>
        <w:tc>
          <w:tcPr>
            <w:tcW w:w="1134" w:type="dxa"/>
            <w:vMerge w:val="restart"/>
            <w:vAlign w:val="center"/>
          </w:tcPr>
          <w:p>
            <w:pPr>
              <w:pStyle w:val="10"/>
              <w:rPr>
                <w:highlight w:val="none"/>
              </w:rPr>
            </w:pPr>
            <w:r>
              <w:rPr>
                <w:highlight w:val="none"/>
              </w:rPr>
              <w:t>合计</w:t>
            </w:r>
          </w:p>
        </w:tc>
        <w:tc>
          <w:tcPr>
            <w:tcW w:w="9072" w:type="dxa"/>
            <w:gridSpan w:val="8"/>
            <w:vAlign w:val="center"/>
          </w:tcPr>
          <w:p>
            <w:pPr>
              <w:pStyle w:val="10"/>
              <w:rPr>
                <w:highlight w:val="none"/>
              </w:rPr>
            </w:pPr>
            <w:r>
              <w:rPr>
                <w:highlight w:val="none"/>
              </w:rPr>
              <w:t>本年收入</w:t>
            </w:r>
          </w:p>
        </w:tc>
        <w:tc>
          <w:tcPr>
            <w:tcW w:w="1134" w:type="dxa"/>
            <w:vMerge w:val="restart"/>
            <w:vAlign w:val="center"/>
          </w:tcPr>
          <w:p>
            <w:pPr>
              <w:pStyle w:val="10"/>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0"/>
              <w:rPr>
                <w:highlight w:val="none"/>
              </w:rPr>
            </w:pPr>
            <w:r>
              <w:rPr>
                <w:highlight w:val="none"/>
              </w:rPr>
              <w:t>科目    编码</w:t>
            </w:r>
          </w:p>
        </w:tc>
        <w:tc>
          <w:tcPr>
            <w:tcW w:w="1559" w:type="dxa"/>
            <w:vAlign w:val="center"/>
          </w:tcPr>
          <w:p>
            <w:pPr>
              <w:pStyle w:val="10"/>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0"/>
              <w:rPr>
                <w:highlight w:val="none"/>
              </w:rPr>
            </w:pPr>
            <w:r>
              <w:rPr>
                <w:highlight w:val="none"/>
              </w:rPr>
              <w:t>小计</w:t>
            </w:r>
          </w:p>
        </w:tc>
        <w:tc>
          <w:tcPr>
            <w:tcW w:w="1134" w:type="dxa"/>
            <w:vAlign w:val="center"/>
          </w:tcPr>
          <w:p>
            <w:pPr>
              <w:pStyle w:val="10"/>
              <w:rPr>
                <w:highlight w:val="none"/>
              </w:rPr>
            </w:pPr>
            <w:r>
              <w:rPr>
                <w:highlight w:val="none"/>
              </w:rPr>
              <w:t>财政拨款 收入</w:t>
            </w:r>
          </w:p>
        </w:tc>
        <w:tc>
          <w:tcPr>
            <w:tcW w:w="1134" w:type="dxa"/>
            <w:vAlign w:val="center"/>
          </w:tcPr>
          <w:p>
            <w:pPr>
              <w:pStyle w:val="10"/>
              <w:rPr>
                <w:highlight w:val="none"/>
              </w:rPr>
            </w:pPr>
            <w:r>
              <w:rPr>
                <w:highlight w:val="none"/>
              </w:rPr>
              <w:t>财政专户 收入</w:t>
            </w:r>
          </w:p>
        </w:tc>
        <w:tc>
          <w:tcPr>
            <w:tcW w:w="1134" w:type="dxa"/>
            <w:vAlign w:val="center"/>
          </w:tcPr>
          <w:p>
            <w:pPr>
              <w:pStyle w:val="10"/>
              <w:rPr>
                <w:highlight w:val="none"/>
              </w:rPr>
            </w:pPr>
            <w:r>
              <w:rPr>
                <w:highlight w:val="none"/>
              </w:rPr>
              <w:t>事业收入</w:t>
            </w:r>
          </w:p>
        </w:tc>
        <w:tc>
          <w:tcPr>
            <w:tcW w:w="1134" w:type="dxa"/>
            <w:vAlign w:val="center"/>
          </w:tcPr>
          <w:p>
            <w:pPr>
              <w:pStyle w:val="10"/>
              <w:rPr>
                <w:highlight w:val="none"/>
              </w:rPr>
            </w:pPr>
            <w:r>
              <w:rPr>
                <w:highlight w:val="none"/>
              </w:rPr>
              <w:t>经营收入</w:t>
            </w:r>
          </w:p>
        </w:tc>
        <w:tc>
          <w:tcPr>
            <w:tcW w:w="1134" w:type="dxa"/>
            <w:vAlign w:val="center"/>
          </w:tcPr>
          <w:p>
            <w:pPr>
              <w:pStyle w:val="10"/>
              <w:rPr>
                <w:highlight w:val="none"/>
              </w:rPr>
            </w:pPr>
            <w:r>
              <w:rPr>
                <w:highlight w:val="none"/>
              </w:rPr>
              <w:t>上级补助收入</w:t>
            </w:r>
          </w:p>
        </w:tc>
        <w:tc>
          <w:tcPr>
            <w:tcW w:w="1134" w:type="dxa"/>
            <w:vAlign w:val="center"/>
          </w:tcPr>
          <w:p>
            <w:pPr>
              <w:pStyle w:val="10"/>
              <w:rPr>
                <w:highlight w:val="none"/>
              </w:rPr>
            </w:pPr>
            <w:r>
              <w:rPr>
                <w:highlight w:val="none"/>
              </w:rPr>
              <w:t>附属单位上缴收入</w:t>
            </w:r>
          </w:p>
        </w:tc>
        <w:tc>
          <w:tcPr>
            <w:tcW w:w="1134" w:type="dxa"/>
            <w:vAlign w:val="center"/>
          </w:tcPr>
          <w:p>
            <w:pPr>
              <w:pStyle w:val="10"/>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rPr>
                <w:highlight w:val="none"/>
              </w:rPr>
            </w:pPr>
            <w:r>
              <w:rPr>
                <w:highlight w:val="none"/>
              </w:rPr>
              <w:t>栏次</w:t>
            </w:r>
          </w:p>
        </w:tc>
        <w:tc>
          <w:tcPr>
            <w:tcW w:w="992" w:type="dxa"/>
            <w:vAlign w:val="center"/>
          </w:tcPr>
          <w:p>
            <w:pPr>
              <w:pStyle w:val="10"/>
              <w:rPr>
                <w:highlight w:val="none"/>
              </w:rPr>
            </w:pPr>
            <w:r>
              <w:rPr>
                <w:highlight w:val="none"/>
              </w:rPr>
              <w:t>1</w:t>
            </w:r>
          </w:p>
        </w:tc>
        <w:tc>
          <w:tcPr>
            <w:tcW w:w="1559" w:type="dxa"/>
            <w:vAlign w:val="center"/>
          </w:tcPr>
          <w:p>
            <w:pPr>
              <w:pStyle w:val="10"/>
              <w:rPr>
                <w:highlight w:val="none"/>
              </w:rPr>
            </w:pPr>
            <w:r>
              <w:rPr>
                <w:highlight w:val="none"/>
              </w:rPr>
              <w:t>2</w:t>
            </w:r>
          </w:p>
        </w:tc>
        <w:tc>
          <w:tcPr>
            <w:tcW w:w="1134" w:type="dxa"/>
            <w:vAlign w:val="center"/>
          </w:tcPr>
          <w:p>
            <w:pPr>
              <w:pStyle w:val="10"/>
              <w:rPr>
                <w:highlight w:val="none"/>
              </w:rPr>
            </w:pPr>
            <w:r>
              <w:rPr>
                <w:highlight w:val="none"/>
              </w:rPr>
              <w:t>3</w:t>
            </w:r>
          </w:p>
        </w:tc>
        <w:tc>
          <w:tcPr>
            <w:tcW w:w="1134" w:type="dxa"/>
            <w:vAlign w:val="center"/>
          </w:tcPr>
          <w:p>
            <w:pPr>
              <w:pStyle w:val="10"/>
              <w:rPr>
                <w:highlight w:val="none"/>
              </w:rPr>
            </w:pPr>
            <w:r>
              <w:rPr>
                <w:highlight w:val="none"/>
              </w:rPr>
              <w:t>4</w:t>
            </w:r>
          </w:p>
        </w:tc>
        <w:tc>
          <w:tcPr>
            <w:tcW w:w="1134" w:type="dxa"/>
            <w:vAlign w:val="center"/>
          </w:tcPr>
          <w:p>
            <w:pPr>
              <w:pStyle w:val="10"/>
              <w:rPr>
                <w:highlight w:val="none"/>
              </w:rPr>
            </w:pPr>
            <w:r>
              <w:rPr>
                <w:highlight w:val="none"/>
              </w:rPr>
              <w:t>5</w:t>
            </w:r>
          </w:p>
        </w:tc>
        <w:tc>
          <w:tcPr>
            <w:tcW w:w="1134" w:type="dxa"/>
            <w:vAlign w:val="center"/>
          </w:tcPr>
          <w:p>
            <w:pPr>
              <w:pStyle w:val="10"/>
              <w:rPr>
                <w:highlight w:val="none"/>
              </w:rPr>
            </w:pPr>
            <w:r>
              <w:rPr>
                <w:highlight w:val="none"/>
              </w:rPr>
              <w:t>6</w:t>
            </w:r>
          </w:p>
        </w:tc>
        <w:tc>
          <w:tcPr>
            <w:tcW w:w="1134" w:type="dxa"/>
            <w:vAlign w:val="center"/>
          </w:tcPr>
          <w:p>
            <w:pPr>
              <w:pStyle w:val="10"/>
              <w:rPr>
                <w:highlight w:val="none"/>
              </w:rPr>
            </w:pPr>
            <w:r>
              <w:rPr>
                <w:highlight w:val="none"/>
              </w:rPr>
              <w:t>7</w:t>
            </w:r>
          </w:p>
        </w:tc>
        <w:tc>
          <w:tcPr>
            <w:tcW w:w="1134" w:type="dxa"/>
            <w:vAlign w:val="center"/>
          </w:tcPr>
          <w:p>
            <w:pPr>
              <w:pStyle w:val="10"/>
              <w:rPr>
                <w:highlight w:val="none"/>
              </w:rPr>
            </w:pPr>
            <w:r>
              <w:rPr>
                <w:highlight w:val="none"/>
              </w:rPr>
              <w:t>8</w:t>
            </w:r>
          </w:p>
        </w:tc>
        <w:tc>
          <w:tcPr>
            <w:tcW w:w="1134" w:type="dxa"/>
            <w:vAlign w:val="center"/>
          </w:tcPr>
          <w:p>
            <w:pPr>
              <w:pStyle w:val="10"/>
              <w:rPr>
                <w:highlight w:val="none"/>
              </w:rPr>
            </w:pPr>
            <w:r>
              <w:rPr>
                <w:highlight w:val="none"/>
              </w:rPr>
              <w:t>9</w:t>
            </w:r>
          </w:p>
        </w:tc>
        <w:tc>
          <w:tcPr>
            <w:tcW w:w="1134" w:type="dxa"/>
            <w:vAlign w:val="center"/>
          </w:tcPr>
          <w:p>
            <w:pPr>
              <w:pStyle w:val="10"/>
              <w:rPr>
                <w:highlight w:val="none"/>
              </w:rPr>
            </w:pPr>
            <w:r>
              <w:rPr>
                <w:highlight w:val="none"/>
              </w:rPr>
              <w:t>10</w:t>
            </w:r>
          </w:p>
        </w:tc>
        <w:tc>
          <w:tcPr>
            <w:tcW w:w="1134" w:type="dxa"/>
            <w:vAlign w:val="center"/>
          </w:tcPr>
          <w:p>
            <w:pPr>
              <w:pStyle w:val="10"/>
              <w:rPr>
                <w:highlight w:val="none"/>
              </w:rPr>
            </w:pPr>
            <w:r>
              <w:rPr>
                <w:highlight w:val="none"/>
              </w:rPr>
              <w:t>11</w:t>
            </w:r>
          </w:p>
        </w:tc>
        <w:tc>
          <w:tcPr>
            <w:tcW w:w="1134" w:type="dxa"/>
            <w:vAlign w:val="center"/>
          </w:tcPr>
          <w:p>
            <w:pPr>
              <w:pStyle w:val="10"/>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1</w:t>
            </w:r>
          </w:p>
        </w:tc>
        <w:tc>
          <w:tcPr>
            <w:tcW w:w="992" w:type="dxa"/>
            <w:vAlign w:val="center"/>
          </w:tcPr>
          <w:p>
            <w:pPr>
              <w:pStyle w:val="16"/>
              <w:rPr>
                <w:highlight w:val="none"/>
              </w:rPr>
            </w:pPr>
          </w:p>
        </w:tc>
        <w:tc>
          <w:tcPr>
            <w:tcW w:w="1559" w:type="dxa"/>
            <w:vAlign w:val="center"/>
          </w:tcPr>
          <w:p>
            <w:pPr>
              <w:pStyle w:val="14"/>
              <w:rPr>
                <w:highlight w:val="none"/>
              </w:rPr>
            </w:pPr>
            <w:r>
              <w:rPr>
                <w:highlight w:val="none"/>
              </w:rPr>
              <w:t>合计</w:t>
            </w:r>
          </w:p>
        </w:tc>
        <w:tc>
          <w:tcPr>
            <w:tcW w:w="1134" w:type="dxa"/>
            <w:vAlign w:val="center"/>
          </w:tcPr>
          <w:p>
            <w:pPr>
              <w:pStyle w:val="15"/>
              <w:rPr>
                <w:highlight w:val="none"/>
              </w:rPr>
            </w:pPr>
            <w:r>
              <w:rPr>
                <w:highlight w:val="none"/>
              </w:rPr>
              <w:t>87.89</w:t>
            </w:r>
          </w:p>
        </w:tc>
        <w:tc>
          <w:tcPr>
            <w:tcW w:w="1134" w:type="dxa"/>
            <w:vAlign w:val="center"/>
          </w:tcPr>
          <w:p>
            <w:pPr>
              <w:pStyle w:val="15"/>
              <w:rPr>
                <w:highlight w:val="none"/>
              </w:rPr>
            </w:pPr>
            <w:r>
              <w:rPr>
                <w:highlight w:val="none"/>
              </w:rPr>
              <w:t>87.89</w:t>
            </w:r>
          </w:p>
        </w:tc>
        <w:tc>
          <w:tcPr>
            <w:tcW w:w="1134" w:type="dxa"/>
            <w:vAlign w:val="center"/>
          </w:tcPr>
          <w:p>
            <w:pPr>
              <w:pStyle w:val="15"/>
              <w:rPr>
                <w:highlight w:val="none"/>
              </w:rPr>
            </w:pPr>
            <w:r>
              <w:rPr>
                <w:highlight w:val="none"/>
              </w:rPr>
              <w:t>87.89</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2</w:t>
            </w:r>
          </w:p>
        </w:tc>
        <w:tc>
          <w:tcPr>
            <w:tcW w:w="992" w:type="dxa"/>
            <w:vAlign w:val="center"/>
          </w:tcPr>
          <w:p>
            <w:pPr>
              <w:pStyle w:val="12"/>
              <w:rPr>
                <w:highlight w:val="none"/>
              </w:rPr>
            </w:pPr>
            <w:r>
              <w:rPr>
                <w:highlight w:val="none"/>
              </w:rPr>
              <w:t>216</w:t>
            </w:r>
          </w:p>
        </w:tc>
        <w:tc>
          <w:tcPr>
            <w:tcW w:w="1559" w:type="dxa"/>
            <w:vAlign w:val="center"/>
          </w:tcPr>
          <w:p>
            <w:pPr>
              <w:pStyle w:val="12"/>
              <w:rPr>
                <w:highlight w:val="none"/>
              </w:rPr>
            </w:pPr>
            <w:r>
              <w:rPr>
                <w:highlight w:val="none"/>
              </w:rPr>
              <w:t>商业服务业等支出</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3</w:t>
            </w:r>
          </w:p>
        </w:tc>
        <w:tc>
          <w:tcPr>
            <w:tcW w:w="992" w:type="dxa"/>
            <w:vAlign w:val="center"/>
          </w:tcPr>
          <w:p>
            <w:pPr>
              <w:pStyle w:val="12"/>
              <w:rPr>
                <w:highlight w:val="none"/>
              </w:rPr>
            </w:pPr>
            <w:r>
              <w:rPr>
                <w:highlight w:val="none"/>
              </w:rPr>
              <w:t>21602</w:t>
            </w:r>
          </w:p>
        </w:tc>
        <w:tc>
          <w:tcPr>
            <w:tcW w:w="1559" w:type="dxa"/>
            <w:vAlign w:val="center"/>
          </w:tcPr>
          <w:p>
            <w:pPr>
              <w:pStyle w:val="12"/>
              <w:rPr>
                <w:highlight w:val="none"/>
              </w:rPr>
            </w:pPr>
            <w:r>
              <w:rPr>
                <w:highlight w:val="none"/>
              </w:rPr>
              <w:t>商业流通事务</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4</w:t>
            </w:r>
          </w:p>
        </w:tc>
        <w:tc>
          <w:tcPr>
            <w:tcW w:w="992" w:type="dxa"/>
            <w:vAlign w:val="center"/>
          </w:tcPr>
          <w:p>
            <w:pPr>
              <w:pStyle w:val="12"/>
              <w:rPr>
                <w:highlight w:val="none"/>
              </w:rPr>
            </w:pPr>
            <w:r>
              <w:rPr>
                <w:highlight w:val="none"/>
              </w:rPr>
              <w:t>2160299</w:t>
            </w:r>
          </w:p>
        </w:tc>
        <w:tc>
          <w:tcPr>
            <w:tcW w:w="1559" w:type="dxa"/>
            <w:vAlign w:val="center"/>
          </w:tcPr>
          <w:p>
            <w:pPr>
              <w:pStyle w:val="12"/>
              <w:rPr>
                <w:highlight w:val="none"/>
              </w:rPr>
            </w:pPr>
            <w:r>
              <w:rPr>
                <w:highlight w:val="none"/>
              </w:rPr>
              <w:t>其他商业流通事务支出</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r>
              <w:rPr>
                <w:highlight w:val="none"/>
              </w:rPr>
              <w:t>66.92</w:t>
            </w: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5</w:t>
            </w:r>
          </w:p>
        </w:tc>
        <w:tc>
          <w:tcPr>
            <w:tcW w:w="992" w:type="dxa"/>
            <w:vAlign w:val="center"/>
          </w:tcPr>
          <w:p>
            <w:pPr>
              <w:pStyle w:val="12"/>
              <w:rPr>
                <w:highlight w:val="none"/>
              </w:rPr>
            </w:pPr>
            <w:r>
              <w:rPr>
                <w:highlight w:val="none"/>
              </w:rPr>
              <w:t>222</w:t>
            </w:r>
          </w:p>
        </w:tc>
        <w:tc>
          <w:tcPr>
            <w:tcW w:w="1559" w:type="dxa"/>
            <w:vAlign w:val="center"/>
          </w:tcPr>
          <w:p>
            <w:pPr>
              <w:pStyle w:val="12"/>
              <w:rPr>
                <w:highlight w:val="none"/>
              </w:rPr>
            </w:pPr>
            <w:r>
              <w:rPr>
                <w:highlight w:val="none"/>
              </w:rPr>
              <w:t>粮油物资储备支出</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6</w:t>
            </w:r>
          </w:p>
        </w:tc>
        <w:tc>
          <w:tcPr>
            <w:tcW w:w="992" w:type="dxa"/>
            <w:vAlign w:val="center"/>
          </w:tcPr>
          <w:p>
            <w:pPr>
              <w:pStyle w:val="12"/>
              <w:rPr>
                <w:highlight w:val="none"/>
              </w:rPr>
            </w:pPr>
            <w:r>
              <w:rPr>
                <w:highlight w:val="none"/>
              </w:rPr>
              <w:t>22201</w:t>
            </w:r>
          </w:p>
        </w:tc>
        <w:tc>
          <w:tcPr>
            <w:tcW w:w="1559" w:type="dxa"/>
            <w:vAlign w:val="center"/>
          </w:tcPr>
          <w:p>
            <w:pPr>
              <w:pStyle w:val="12"/>
              <w:rPr>
                <w:highlight w:val="none"/>
              </w:rPr>
            </w:pPr>
            <w:r>
              <w:rPr>
                <w:highlight w:val="none"/>
              </w:rPr>
              <w:t>粮油物资事务</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highlight w:val="none"/>
              </w:rPr>
            </w:pPr>
            <w:r>
              <w:rPr>
                <w:highlight w:val="none"/>
              </w:rPr>
              <w:t>7</w:t>
            </w:r>
          </w:p>
        </w:tc>
        <w:tc>
          <w:tcPr>
            <w:tcW w:w="992" w:type="dxa"/>
            <w:vAlign w:val="center"/>
          </w:tcPr>
          <w:p>
            <w:pPr>
              <w:pStyle w:val="12"/>
              <w:rPr>
                <w:highlight w:val="none"/>
              </w:rPr>
            </w:pPr>
            <w:r>
              <w:rPr>
                <w:highlight w:val="none"/>
              </w:rPr>
              <w:t>2220101</w:t>
            </w:r>
          </w:p>
        </w:tc>
        <w:tc>
          <w:tcPr>
            <w:tcW w:w="1559" w:type="dxa"/>
            <w:vAlign w:val="center"/>
          </w:tcPr>
          <w:p>
            <w:pPr>
              <w:pStyle w:val="12"/>
              <w:rPr>
                <w:highlight w:val="none"/>
              </w:rPr>
            </w:pPr>
            <w:r>
              <w:rPr>
                <w:highlight w:val="none"/>
              </w:rPr>
              <w:t>行政运行</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r>
              <w:rPr>
                <w:highlight w:val="none"/>
              </w:rPr>
              <w:t>20.97</w:t>
            </w: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c>
          <w:tcPr>
            <w:tcW w:w="1134"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722" w:type="dxa"/>
            <w:gridSpan w:val="2"/>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444"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5528" w:type="dxa"/>
            <w:gridSpan w:val="2"/>
            <w:vAlign w:val="center"/>
          </w:tcPr>
          <w:p>
            <w:pPr>
              <w:pStyle w:val="10"/>
              <w:rPr>
                <w:highlight w:val="none"/>
              </w:rPr>
            </w:pPr>
            <w:r>
              <w:rPr>
                <w:highlight w:val="none"/>
              </w:rPr>
              <w:t>功能分类科目</w:t>
            </w:r>
          </w:p>
        </w:tc>
        <w:tc>
          <w:tcPr>
            <w:tcW w:w="1361" w:type="dxa"/>
            <w:vMerge w:val="restart"/>
            <w:vAlign w:val="center"/>
          </w:tcPr>
          <w:p>
            <w:pPr>
              <w:pStyle w:val="10"/>
              <w:rPr>
                <w:highlight w:val="none"/>
              </w:rPr>
            </w:pPr>
            <w:r>
              <w:rPr>
                <w:highlight w:val="none"/>
              </w:rPr>
              <w:t>合计</w:t>
            </w:r>
          </w:p>
        </w:tc>
        <w:tc>
          <w:tcPr>
            <w:tcW w:w="1361" w:type="dxa"/>
            <w:vMerge w:val="restart"/>
            <w:vAlign w:val="center"/>
          </w:tcPr>
          <w:p>
            <w:pPr>
              <w:pStyle w:val="10"/>
              <w:rPr>
                <w:highlight w:val="none"/>
              </w:rPr>
            </w:pPr>
            <w:r>
              <w:rPr>
                <w:highlight w:val="none"/>
              </w:rPr>
              <w:t>基本支出</w:t>
            </w:r>
          </w:p>
        </w:tc>
        <w:tc>
          <w:tcPr>
            <w:tcW w:w="1361" w:type="dxa"/>
            <w:vMerge w:val="restart"/>
            <w:vAlign w:val="center"/>
          </w:tcPr>
          <w:p>
            <w:pPr>
              <w:pStyle w:val="10"/>
              <w:rPr>
                <w:highlight w:val="none"/>
              </w:rPr>
            </w:pPr>
            <w:r>
              <w:rPr>
                <w:highlight w:val="none"/>
              </w:rPr>
              <w:t>项目支出</w:t>
            </w:r>
          </w:p>
        </w:tc>
        <w:tc>
          <w:tcPr>
            <w:tcW w:w="1361" w:type="dxa"/>
            <w:vMerge w:val="restart"/>
            <w:vAlign w:val="center"/>
          </w:tcPr>
          <w:p>
            <w:pPr>
              <w:pStyle w:val="10"/>
              <w:rPr>
                <w:highlight w:val="none"/>
              </w:rPr>
            </w:pPr>
            <w:r>
              <w:rPr>
                <w:highlight w:val="none"/>
              </w:rPr>
              <w:t>经营支出</w:t>
            </w:r>
          </w:p>
        </w:tc>
        <w:tc>
          <w:tcPr>
            <w:tcW w:w="1361" w:type="dxa"/>
            <w:vMerge w:val="restart"/>
            <w:vAlign w:val="center"/>
          </w:tcPr>
          <w:p>
            <w:pPr>
              <w:pStyle w:val="10"/>
              <w:rPr>
                <w:highlight w:val="none"/>
              </w:rPr>
            </w:pPr>
            <w:r>
              <w:rPr>
                <w:highlight w:val="none"/>
              </w:rPr>
              <w:t>上解上级     支出</w:t>
            </w:r>
          </w:p>
        </w:tc>
        <w:tc>
          <w:tcPr>
            <w:tcW w:w="1361" w:type="dxa"/>
            <w:vMerge w:val="restart"/>
            <w:vAlign w:val="center"/>
          </w:tcPr>
          <w:p>
            <w:pPr>
              <w:pStyle w:val="10"/>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0"/>
              <w:rPr>
                <w:highlight w:val="none"/>
              </w:rPr>
            </w:pPr>
            <w:r>
              <w:rPr>
                <w:highlight w:val="none"/>
              </w:rPr>
              <w:t>科目    编码</w:t>
            </w:r>
          </w:p>
        </w:tc>
        <w:tc>
          <w:tcPr>
            <w:tcW w:w="4536" w:type="dxa"/>
            <w:vAlign w:val="center"/>
          </w:tcPr>
          <w:p>
            <w:pPr>
              <w:pStyle w:val="10"/>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992" w:type="dxa"/>
            <w:vAlign w:val="center"/>
          </w:tcPr>
          <w:p>
            <w:pPr>
              <w:pStyle w:val="10"/>
              <w:rPr>
                <w:highlight w:val="none"/>
              </w:rPr>
            </w:pPr>
            <w:r>
              <w:rPr>
                <w:highlight w:val="none"/>
              </w:rPr>
              <w:t>1</w:t>
            </w:r>
          </w:p>
        </w:tc>
        <w:tc>
          <w:tcPr>
            <w:tcW w:w="4536" w:type="dxa"/>
            <w:vAlign w:val="center"/>
          </w:tcPr>
          <w:p>
            <w:pPr>
              <w:pStyle w:val="10"/>
              <w:rPr>
                <w:highlight w:val="none"/>
              </w:rPr>
            </w:pPr>
            <w:r>
              <w:rPr>
                <w:highlight w:val="none"/>
              </w:rPr>
              <w:t>2</w:t>
            </w:r>
          </w:p>
        </w:tc>
        <w:tc>
          <w:tcPr>
            <w:tcW w:w="1361" w:type="dxa"/>
            <w:vAlign w:val="center"/>
          </w:tcPr>
          <w:p>
            <w:pPr>
              <w:pStyle w:val="10"/>
              <w:rPr>
                <w:highlight w:val="none"/>
              </w:rPr>
            </w:pPr>
            <w:r>
              <w:rPr>
                <w:highlight w:val="none"/>
              </w:rPr>
              <w:t>3</w:t>
            </w:r>
          </w:p>
        </w:tc>
        <w:tc>
          <w:tcPr>
            <w:tcW w:w="1361" w:type="dxa"/>
            <w:vAlign w:val="center"/>
          </w:tcPr>
          <w:p>
            <w:pPr>
              <w:pStyle w:val="10"/>
              <w:rPr>
                <w:highlight w:val="none"/>
              </w:rPr>
            </w:pPr>
            <w:r>
              <w:rPr>
                <w:highlight w:val="none"/>
              </w:rPr>
              <w:t>4</w:t>
            </w:r>
          </w:p>
        </w:tc>
        <w:tc>
          <w:tcPr>
            <w:tcW w:w="1361" w:type="dxa"/>
            <w:vAlign w:val="center"/>
          </w:tcPr>
          <w:p>
            <w:pPr>
              <w:pStyle w:val="10"/>
              <w:rPr>
                <w:highlight w:val="none"/>
              </w:rPr>
            </w:pPr>
            <w:r>
              <w:rPr>
                <w:highlight w:val="none"/>
              </w:rPr>
              <w:t>5</w:t>
            </w:r>
          </w:p>
        </w:tc>
        <w:tc>
          <w:tcPr>
            <w:tcW w:w="1361" w:type="dxa"/>
            <w:vAlign w:val="center"/>
          </w:tcPr>
          <w:p>
            <w:pPr>
              <w:pStyle w:val="10"/>
              <w:rPr>
                <w:highlight w:val="none"/>
              </w:rPr>
            </w:pPr>
            <w:r>
              <w:rPr>
                <w:highlight w:val="none"/>
              </w:rPr>
              <w:t>6</w:t>
            </w:r>
          </w:p>
        </w:tc>
        <w:tc>
          <w:tcPr>
            <w:tcW w:w="1361" w:type="dxa"/>
            <w:vAlign w:val="center"/>
          </w:tcPr>
          <w:p>
            <w:pPr>
              <w:pStyle w:val="10"/>
              <w:rPr>
                <w:highlight w:val="none"/>
              </w:rPr>
            </w:pPr>
            <w:r>
              <w:rPr>
                <w:highlight w:val="none"/>
              </w:rPr>
              <w:t>7</w:t>
            </w:r>
          </w:p>
        </w:tc>
        <w:tc>
          <w:tcPr>
            <w:tcW w:w="1361" w:type="dxa"/>
            <w:vAlign w:val="center"/>
          </w:tcPr>
          <w:p>
            <w:pPr>
              <w:pStyle w:val="10"/>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w:t>
            </w:r>
          </w:p>
        </w:tc>
        <w:tc>
          <w:tcPr>
            <w:tcW w:w="992" w:type="dxa"/>
            <w:vAlign w:val="center"/>
          </w:tcPr>
          <w:p>
            <w:pPr>
              <w:pStyle w:val="16"/>
              <w:rPr>
                <w:highlight w:val="none"/>
              </w:rPr>
            </w:pPr>
          </w:p>
        </w:tc>
        <w:tc>
          <w:tcPr>
            <w:tcW w:w="4536" w:type="dxa"/>
            <w:vAlign w:val="center"/>
          </w:tcPr>
          <w:p>
            <w:pPr>
              <w:pStyle w:val="14"/>
              <w:rPr>
                <w:highlight w:val="none"/>
              </w:rPr>
            </w:pPr>
            <w:r>
              <w:rPr>
                <w:highlight w:val="none"/>
              </w:rPr>
              <w:t>合计</w:t>
            </w:r>
          </w:p>
        </w:tc>
        <w:tc>
          <w:tcPr>
            <w:tcW w:w="1361" w:type="dxa"/>
            <w:vAlign w:val="center"/>
          </w:tcPr>
          <w:p>
            <w:pPr>
              <w:pStyle w:val="15"/>
              <w:rPr>
                <w:highlight w:val="none"/>
              </w:rPr>
            </w:pPr>
            <w:r>
              <w:rPr>
                <w:highlight w:val="none"/>
              </w:rPr>
              <w:t>87.89</w:t>
            </w:r>
          </w:p>
        </w:tc>
        <w:tc>
          <w:tcPr>
            <w:tcW w:w="1361" w:type="dxa"/>
            <w:vAlign w:val="center"/>
          </w:tcPr>
          <w:p>
            <w:pPr>
              <w:pStyle w:val="15"/>
              <w:rPr>
                <w:highlight w:val="none"/>
              </w:rPr>
            </w:pPr>
            <w:r>
              <w:rPr>
                <w:highlight w:val="none"/>
              </w:rPr>
              <w:t>20.97</w:t>
            </w:r>
          </w:p>
        </w:tc>
        <w:tc>
          <w:tcPr>
            <w:tcW w:w="1361" w:type="dxa"/>
            <w:vAlign w:val="center"/>
          </w:tcPr>
          <w:p>
            <w:pPr>
              <w:pStyle w:val="15"/>
              <w:rPr>
                <w:highlight w:val="none"/>
              </w:rPr>
            </w:pPr>
            <w:r>
              <w:rPr>
                <w:highlight w:val="none"/>
              </w:rPr>
              <w:t>66.92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w:t>
            </w:r>
          </w:p>
        </w:tc>
        <w:tc>
          <w:tcPr>
            <w:tcW w:w="992" w:type="dxa"/>
            <w:vAlign w:val="center"/>
          </w:tcPr>
          <w:p>
            <w:pPr>
              <w:pStyle w:val="12"/>
              <w:rPr>
                <w:highlight w:val="none"/>
              </w:rPr>
            </w:pPr>
            <w:r>
              <w:rPr>
                <w:highlight w:val="none"/>
              </w:rPr>
              <w:t>216</w:t>
            </w:r>
          </w:p>
        </w:tc>
        <w:tc>
          <w:tcPr>
            <w:tcW w:w="4536" w:type="dxa"/>
            <w:vAlign w:val="center"/>
          </w:tcPr>
          <w:p>
            <w:pPr>
              <w:pStyle w:val="12"/>
              <w:rPr>
                <w:highlight w:val="none"/>
              </w:rPr>
            </w:pPr>
            <w:r>
              <w:rPr>
                <w:highlight w:val="none"/>
              </w:rPr>
              <w:t>商业服务业等支出</w:t>
            </w:r>
          </w:p>
        </w:tc>
        <w:tc>
          <w:tcPr>
            <w:tcW w:w="1361" w:type="dxa"/>
            <w:vAlign w:val="center"/>
          </w:tcPr>
          <w:p>
            <w:pPr>
              <w:pStyle w:val="11"/>
              <w:rPr>
                <w:highlight w:val="none"/>
              </w:rPr>
            </w:pPr>
            <w:r>
              <w:rPr>
                <w:highlight w:val="none"/>
              </w:rPr>
              <w:t>66.92</w:t>
            </w:r>
          </w:p>
        </w:tc>
        <w:tc>
          <w:tcPr>
            <w:tcW w:w="1361" w:type="dxa"/>
            <w:vAlign w:val="center"/>
          </w:tcPr>
          <w:p>
            <w:pPr>
              <w:pStyle w:val="11"/>
              <w:rPr>
                <w:highlight w:val="none"/>
              </w:rPr>
            </w:pPr>
          </w:p>
        </w:tc>
        <w:tc>
          <w:tcPr>
            <w:tcW w:w="1361" w:type="dxa"/>
            <w:vAlign w:val="center"/>
          </w:tcPr>
          <w:p>
            <w:pPr>
              <w:pStyle w:val="11"/>
              <w:rPr>
                <w:highlight w:val="none"/>
              </w:rPr>
            </w:pPr>
            <w:r>
              <w:rPr>
                <w:highlight w:val="none"/>
              </w:rPr>
              <w:t>66.92</w:t>
            </w: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w:t>
            </w:r>
          </w:p>
        </w:tc>
        <w:tc>
          <w:tcPr>
            <w:tcW w:w="992" w:type="dxa"/>
            <w:vAlign w:val="center"/>
          </w:tcPr>
          <w:p>
            <w:pPr>
              <w:pStyle w:val="12"/>
              <w:rPr>
                <w:highlight w:val="none"/>
              </w:rPr>
            </w:pPr>
            <w:r>
              <w:rPr>
                <w:highlight w:val="none"/>
              </w:rPr>
              <w:t>21602</w:t>
            </w:r>
          </w:p>
        </w:tc>
        <w:tc>
          <w:tcPr>
            <w:tcW w:w="4536" w:type="dxa"/>
            <w:vAlign w:val="center"/>
          </w:tcPr>
          <w:p>
            <w:pPr>
              <w:pStyle w:val="12"/>
              <w:rPr>
                <w:highlight w:val="none"/>
              </w:rPr>
            </w:pPr>
            <w:r>
              <w:rPr>
                <w:highlight w:val="none"/>
              </w:rPr>
              <w:t>商业流通事务</w:t>
            </w:r>
          </w:p>
        </w:tc>
        <w:tc>
          <w:tcPr>
            <w:tcW w:w="1361" w:type="dxa"/>
            <w:vAlign w:val="center"/>
          </w:tcPr>
          <w:p>
            <w:pPr>
              <w:pStyle w:val="11"/>
              <w:rPr>
                <w:highlight w:val="none"/>
              </w:rPr>
            </w:pPr>
            <w:r>
              <w:rPr>
                <w:highlight w:val="none"/>
              </w:rPr>
              <w:t>66.92</w:t>
            </w:r>
          </w:p>
        </w:tc>
        <w:tc>
          <w:tcPr>
            <w:tcW w:w="1361" w:type="dxa"/>
            <w:vAlign w:val="center"/>
          </w:tcPr>
          <w:p>
            <w:pPr>
              <w:pStyle w:val="11"/>
              <w:rPr>
                <w:highlight w:val="none"/>
              </w:rPr>
            </w:pPr>
          </w:p>
        </w:tc>
        <w:tc>
          <w:tcPr>
            <w:tcW w:w="1361" w:type="dxa"/>
            <w:vAlign w:val="center"/>
          </w:tcPr>
          <w:p>
            <w:pPr>
              <w:pStyle w:val="11"/>
              <w:rPr>
                <w:highlight w:val="none"/>
              </w:rPr>
            </w:pPr>
            <w:r>
              <w:rPr>
                <w:highlight w:val="none"/>
              </w:rPr>
              <w:t>66.92</w:t>
            </w: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4</w:t>
            </w:r>
          </w:p>
        </w:tc>
        <w:tc>
          <w:tcPr>
            <w:tcW w:w="992" w:type="dxa"/>
            <w:vAlign w:val="center"/>
          </w:tcPr>
          <w:p>
            <w:pPr>
              <w:pStyle w:val="12"/>
              <w:rPr>
                <w:highlight w:val="none"/>
              </w:rPr>
            </w:pPr>
            <w:r>
              <w:rPr>
                <w:highlight w:val="none"/>
              </w:rPr>
              <w:t>2160299</w:t>
            </w:r>
          </w:p>
        </w:tc>
        <w:tc>
          <w:tcPr>
            <w:tcW w:w="4536" w:type="dxa"/>
            <w:vAlign w:val="center"/>
          </w:tcPr>
          <w:p>
            <w:pPr>
              <w:pStyle w:val="12"/>
              <w:rPr>
                <w:highlight w:val="none"/>
              </w:rPr>
            </w:pPr>
            <w:r>
              <w:rPr>
                <w:highlight w:val="none"/>
              </w:rPr>
              <w:t>其他商业流通事务支出</w:t>
            </w:r>
          </w:p>
        </w:tc>
        <w:tc>
          <w:tcPr>
            <w:tcW w:w="1361" w:type="dxa"/>
            <w:vAlign w:val="center"/>
          </w:tcPr>
          <w:p>
            <w:pPr>
              <w:pStyle w:val="11"/>
              <w:rPr>
                <w:highlight w:val="none"/>
              </w:rPr>
            </w:pPr>
            <w:r>
              <w:rPr>
                <w:highlight w:val="none"/>
              </w:rPr>
              <w:t>66.92</w:t>
            </w:r>
          </w:p>
        </w:tc>
        <w:tc>
          <w:tcPr>
            <w:tcW w:w="1361" w:type="dxa"/>
            <w:vAlign w:val="center"/>
          </w:tcPr>
          <w:p>
            <w:pPr>
              <w:pStyle w:val="11"/>
              <w:rPr>
                <w:highlight w:val="none"/>
              </w:rPr>
            </w:pPr>
          </w:p>
        </w:tc>
        <w:tc>
          <w:tcPr>
            <w:tcW w:w="1361" w:type="dxa"/>
            <w:vAlign w:val="center"/>
          </w:tcPr>
          <w:p>
            <w:pPr>
              <w:pStyle w:val="11"/>
              <w:rPr>
                <w:highlight w:val="none"/>
              </w:rPr>
            </w:pPr>
            <w:r>
              <w:rPr>
                <w:highlight w:val="none"/>
              </w:rPr>
              <w:t>66.92</w:t>
            </w: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5</w:t>
            </w:r>
          </w:p>
        </w:tc>
        <w:tc>
          <w:tcPr>
            <w:tcW w:w="992" w:type="dxa"/>
            <w:vAlign w:val="center"/>
          </w:tcPr>
          <w:p>
            <w:pPr>
              <w:pStyle w:val="12"/>
              <w:rPr>
                <w:highlight w:val="none"/>
              </w:rPr>
            </w:pPr>
            <w:r>
              <w:rPr>
                <w:highlight w:val="none"/>
              </w:rPr>
              <w:t>222</w:t>
            </w:r>
          </w:p>
        </w:tc>
        <w:tc>
          <w:tcPr>
            <w:tcW w:w="4536" w:type="dxa"/>
            <w:vAlign w:val="center"/>
          </w:tcPr>
          <w:p>
            <w:pPr>
              <w:pStyle w:val="12"/>
              <w:rPr>
                <w:highlight w:val="none"/>
              </w:rPr>
            </w:pPr>
            <w:r>
              <w:rPr>
                <w:highlight w:val="none"/>
              </w:rPr>
              <w:t>粮油物资储备支出</w:t>
            </w:r>
          </w:p>
        </w:tc>
        <w:tc>
          <w:tcPr>
            <w:tcW w:w="1361" w:type="dxa"/>
            <w:vAlign w:val="center"/>
          </w:tcPr>
          <w:p>
            <w:pPr>
              <w:pStyle w:val="11"/>
              <w:rPr>
                <w:highlight w:val="none"/>
              </w:rPr>
            </w:pPr>
            <w:r>
              <w:rPr>
                <w:highlight w:val="none"/>
              </w:rPr>
              <w:t>20.97</w:t>
            </w:r>
          </w:p>
        </w:tc>
        <w:tc>
          <w:tcPr>
            <w:tcW w:w="1361" w:type="dxa"/>
            <w:vAlign w:val="center"/>
          </w:tcPr>
          <w:p>
            <w:pPr>
              <w:pStyle w:val="11"/>
              <w:rPr>
                <w:highlight w:val="none"/>
              </w:rPr>
            </w:pPr>
            <w:r>
              <w:rPr>
                <w:highlight w:val="none"/>
              </w:rPr>
              <w:t>20.97</w:t>
            </w: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6</w:t>
            </w:r>
          </w:p>
        </w:tc>
        <w:tc>
          <w:tcPr>
            <w:tcW w:w="992" w:type="dxa"/>
            <w:vAlign w:val="center"/>
          </w:tcPr>
          <w:p>
            <w:pPr>
              <w:pStyle w:val="12"/>
              <w:rPr>
                <w:highlight w:val="none"/>
              </w:rPr>
            </w:pPr>
            <w:r>
              <w:rPr>
                <w:highlight w:val="none"/>
              </w:rPr>
              <w:t>22201</w:t>
            </w:r>
          </w:p>
        </w:tc>
        <w:tc>
          <w:tcPr>
            <w:tcW w:w="4536" w:type="dxa"/>
            <w:vAlign w:val="center"/>
          </w:tcPr>
          <w:p>
            <w:pPr>
              <w:pStyle w:val="12"/>
              <w:rPr>
                <w:highlight w:val="none"/>
              </w:rPr>
            </w:pPr>
            <w:r>
              <w:rPr>
                <w:highlight w:val="none"/>
              </w:rPr>
              <w:t>粮油物资事务</w:t>
            </w:r>
          </w:p>
        </w:tc>
        <w:tc>
          <w:tcPr>
            <w:tcW w:w="1361" w:type="dxa"/>
            <w:vAlign w:val="center"/>
          </w:tcPr>
          <w:p>
            <w:pPr>
              <w:pStyle w:val="11"/>
              <w:rPr>
                <w:highlight w:val="none"/>
              </w:rPr>
            </w:pPr>
            <w:r>
              <w:rPr>
                <w:highlight w:val="none"/>
              </w:rPr>
              <w:t>20.97</w:t>
            </w:r>
          </w:p>
        </w:tc>
        <w:tc>
          <w:tcPr>
            <w:tcW w:w="1361" w:type="dxa"/>
            <w:vAlign w:val="center"/>
          </w:tcPr>
          <w:p>
            <w:pPr>
              <w:pStyle w:val="11"/>
              <w:rPr>
                <w:highlight w:val="none"/>
              </w:rPr>
            </w:pPr>
            <w:r>
              <w:rPr>
                <w:highlight w:val="none"/>
              </w:rPr>
              <w:t>20.97</w:t>
            </w: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7</w:t>
            </w:r>
          </w:p>
        </w:tc>
        <w:tc>
          <w:tcPr>
            <w:tcW w:w="992" w:type="dxa"/>
            <w:vAlign w:val="center"/>
          </w:tcPr>
          <w:p>
            <w:pPr>
              <w:pStyle w:val="12"/>
              <w:rPr>
                <w:highlight w:val="none"/>
              </w:rPr>
            </w:pPr>
            <w:r>
              <w:rPr>
                <w:highlight w:val="none"/>
              </w:rPr>
              <w:t>2220101</w:t>
            </w:r>
          </w:p>
        </w:tc>
        <w:tc>
          <w:tcPr>
            <w:tcW w:w="4536" w:type="dxa"/>
            <w:vAlign w:val="center"/>
          </w:tcPr>
          <w:p>
            <w:pPr>
              <w:pStyle w:val="12"/>
              <w:rPr>
                <w:highlight w:val="none"/>
              </w:rPr>
            </w:pPr>
            <w:r>
              <w:rPr>
                <w:highlight w:val="none"/>
              </w:rPr>
              <w:t>行政运行</w:t>
            </w:r>
          </w:p>
        </w:tc>
        <w:tc>
          <w:tcPr>
            <w:tcW w:w="1361" w:type="dxa"/>
            <w:vAlign w:val="center"/>
          </w:tcPr>
          <w:p>
            <w:pPr>
              <w:pStyle w:val="11"/>
              <w:rPr>
                <w:highlight w:val="none"/>
              </w:rPr>
            </w:pPr>
            <w:r>
              <w:rPr>
                <w:highlight w:val="none"/>
              </w:rPr>
              <w:t>20.97</w:t>
            </w:r>
          </w:p>
        </w:tc>
        <w:tc>
          <w:tcPr>
            <w:tcW w:w="1361" w:type="dxa"/>
            <w:vAlign w:val="center"/>
          </w:tcPr>
          <w:p>
            <w:pPr>
              <w:pStyle w:val="11"/>
              <w:rPr>
                <w:highlight w:val="none"/>
              </w:rPr>
            </w:pPr>
            <w:r>
              <w:rPr>
                <w:highlight w:val="none"/>
              </w:rPr>
              <w:t>20.97</w:t>
            </w: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c>
          <w:tcPr>
            <w:tcW w:w="1361"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3402" w:type="dxa"/>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4876" w:type="dxa"/>
            <w:gridSpan w:val="2"/>
            <w:vAlign w:val="center"/>
          </w:tcPr>
          <w:p>
            <w:pPr>
              <w:pStyle w:val="10"/>
              <w:rPr>
                <w:highlight w:val="none"/>
              </w:rPr>
            </w:pPr>
            <w:r>
              <w:rPr>
                <w:highlight w:val="none"/>
              </w:rPr>
              <w:t>收入</w:t>
            </w:r>
          </w:p>
        </w:tc>
        <w:tc>
          <w:tcPr>
            <w:tcW w:w="9298" w:type="dxa"/>
            <w:gridSpan w:val="5"/>
            <w:vAlign w:val="center"/>
          </w:tcPr>
          <w:p>
            <w:pPr>
              <w:pStyle w:val="10"/>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0"/>
              <w:rPr>
                <w:highlight w:val="none"/>
              </w:rPr>
            </w:pPr>
            <w:r>
              <w:rPr>
                <w:highlight w:val="none"/>
              </w:rPr>
              <w:t>项  目</w:t>
            </w:r>
          </w:p>
        </w:tc>
        <w:tc>
          <w:tcPr>
            <w:tcW w:w="1474" w:type="dxa"/>
            <w:vAlign w:val="center"/>
          </w:tcPr>
          <w:p>
            <w:pPr>
              <w:pStyle w:val="10"/>
              <w:rPr>
                <w:highlight w:val="none"/>
              </w:rPr>
            </w:pPr>
            <w:r>
              <w:rPr>
                <w:highlight w:val="none"/>
              </w:rPr>
              <w:t>金额</w:t>
            </w:r>
          </w:p>
        </w:tc>
        <w:tc>
          <w:tcPr>
            <w:tcW w:w="3402" w:type="dxa"/>
            <w:vAlign w:val="center"/>
          </w:tcPr>
          <w:p>
            <w:pPr>
              <w:pStyle w:val="10"/>
              <w:rPr>
                <w:highlight w:val="none"/>
              </w:rPr>
            </w:pPr>
            <w:r>
              <w:rPr>
                <w:highlight w:val="none"/>
              </w:rPr>
              <w:t>项  目</w:t>
            </w:r>
          </w:p>
        </w:tc>
        <w:tc>
          <w:tcPr>
            <w:tcW w:w="1474" w:type="dxa"/>
            <w:vAlign w:val="center"/>
          </w:tcPr>
          <w:p>
            <w:pPr>
              <w:pStyle w:val="10"/>
              <w:rPr>
                <w:highlight w:val="none"/>
              </w:rPr>
            </w:pPr>
            <w:r>
              <w:rPr>
                <w:highlight w:val="none"/>
              </w:rPr>
              <w:t>合计</w:t>
            </w:r>
          </w:p>
        </w:tc>
        <w:tc>
          <w:tcPr>
            <w:tcW w:w="1474" w:type="dxa"/>
            <w:vAlign w:val="center"/>
          </w:tcPr>
          <w:p>
            <w:pPr>
              <w:pStyle w:val="10"/>
              <w:rPr>
                <w:highlight w:val="none"/>
              </w:rPr>
            </w:pPr>
            <w:r>
              <w:rPr>
                <w:highlight w:val="none"/>
              </w:rPr>
              <w:t>一般公共预算财政拨款</w:t>
            </w:r>
          </w:p>
        </w:tc>
        <w:tc>
          <w:tcPr>
            <w:tcW w:w="1474" w:type="dxa"/>
            <w:vAlign w:val="center"/>
          </w:tcPr>
          <w:p>
            <w:pPr>
              <w:pStyle w:val="10"/>
              <w:rPr>
                <w:highlight w:val="none"/>
              </w:rPr>
            </w:pPr>
            <w:r>
              <w:rPr>
                <w:highlight w:val="none"/>
              </w:rPr>
              <w:t>政府性基金预算财政    拨款</w:t>
            </w:r>
          </w:p>
        </w:tc>
        <w:tc>
          <w:tcPr>
            <w:tcW w:w="1474" w:type="dxa"/>
            <w:vAlign w:val="center"/>
          </w:tcPr>
          <w:p>
            <w:pPr>
              <w:pStyle w:val="10"/>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3402" w:type="dxa"/>
            <w:vAlign w:val="center"/>
          </w:tcPr>
          <w:p>
            <w:pPr>
              <w:pStyle w:val="10"/>
              <w:rPr>
                <w:highlight w:val="none"/>
              </w:rPr>
            </w:pPr>
            <w:r>
              <w:rPr>
                <w:highlight w:val="none"/>
              </w:rPr>
              <w:t>1</w:t>
            </w:r>
          </w:p>
        </w:tc>
        <w:tc>
          <w:tcPr>
            <w:tcW w:w="1474" w:type="dxa"/>
            <w:vAlign w:val="center"/>
          </w:tcPr>
          <w:p>
            <w:pPr>
              <w:pStyle w:val="10"/>
              <w:rPr>
                <w:highlight w:val="none"/>
              </w:rPr>
            </w:pPr>
            <w:r>
              <w:rPr>
                <w:highlight w:val="none"/>
              </w:rPr>
              <w:t>2</w:t>
            </w:r>
          </w:p>
        </w:tc>
        <w:tc>
          <w:tcPr>
            <w:tcW w:w="3402" w:type="dxa"/>
            <w:vAlign w:val="center"/>
          </w:tcPr>
          <w:p>
            <w:pPr>
              <w:pStyle w:val="10"/>
              <w:rPr>
                <w:highlight w:val="none"/>
              </w:rPr>
            </w:pPr>
            <w:r>
              <w:rPr>
                <w:highlight w:val="none"/>
              </w:rPr>
              <w:t>3</w:t>
            </w:r>
          </w:p>
        </w:tc>
        <w:tc>
          <w:tcPr>
            <w:tcW w:w="1474" w:type="dxa"/>
            <w:vAlign w:val="center"/>
          </w:tcPr>
          <w:p>
            <w:pPr>
              <w:pStyle w:val="10"/>
              <w:rPr>
                <w:highlight w:val="none"/>
              </w:rPr>
            </w:pPr>
            <w:r>
              <w:rPr>
                <w:highlight w:val="none"/>
              </w:rPr>
              <w:t>4</w:t>
            </w:r>
          </w:p>
        </w:tc>
        <w:tc>
          <w:tcPr>
            <w:tcW w:w="1474" w:type="dxa"/>
            <w:vAlign w:val="center"/>
          </w:tcPr>
          <w:p>
            <w:pPr>
              <w:pStyle w:val="10"/>
              <w:rPr>
                <w:highlight w:val="none"/>
              </w:rPr>
            </w:pPr>
            <w:r>
              <w:rPr>
                <w:highlight w:val="none"/>
              </w:rPr>
              <w:t>5</w:t>
            </w:r>
          </w:p>
        </w:tc>
        <w:tc>
          <w:tcPr>
            <w:tcW w:w="1474" w:type="dxa"/>
            <w:vAlign w:val="center"/>
          </w:tcPr>
          <w:p>
            <w:pPr>
              <w:pStyle w:val="10"/>
              <w:rPr>
                <w:highlight w:val="none"/>
              </w:rPr>
            </w:pPr>
            <w:r>
              <w:rPr>
                <w:highlight w:val="none"/>
              </w:rPr>
              <w:t>6</w:t>
            </w:r>
          </w:p>
        </w:tc>
        <w:tc>
          <w:tcPr>
            <w:tcW w:w="1474" w:type="dxa"/>
            <w:vAlign w:val="center"/>
          </w:tcPr>
          <w:p>
            <w:pPr>
              <w:pStyle w:val="10"/>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w:t>
            </w:r>
          </w:p>
        </w:tc>
        <w:tc>
          <w:tcPr>
            <w:tcW w:w="3402" w:type="dxa"/>
            <w:vAlign w:val="center"/>
          </w:tcPr>
          <w:p>
            <w:pPr>
              <w:pStyle w:val="12"/>
              <w:rPr>
                <w:highlight w:val="none"/>
              </w:rPr>
            </w:pPr>
            <w:r>
              <w:rPr>
                <w:highlight w:val="none"/>
              </w:rPr>
              <w:t>一、一般公共预算拨款</w:t>
            </w:r>
          </w:p>
        </w:tc>
        <w:tc>
          <w:tcPr>
            <w:tcW w:w="1474" w:type="dxa"/>
            <w:vAlign w:val="center"/>
          </w:tcPr>
          <w:p>
            <w:pPr>
              <w:pStyle w:val="11"/>
              <w:rPr>
                <w:highlight w:val="none"/>
              </w:rPr>
            </w:pPr>
            <w:r>
              <w:rPr>
                <w:highlight w:val="none"/>
              </w:rPr>
              <w:t>87.89</w:t>
            </w:r>
          </w:p>
        </w:tc>
        <w:tc>
          <w:tcPr>
            <w:tcW w:w="3402" w:type="dxa"/>
            <w:vAlign w:val="center"/>
          </w:tcPr>
          <w:p>
            <w:pPr>
              <w:pStyle w:val="12"/>
              <w:rPr>
                <w:highlight w:val="none"/>
              </w:rPr>
            </w:pPr>
            <w:r>
              <w:rPr>
                <w:highlight w:val="none"/>
              </w:rPr>
              <w:t>一、一般公共服务支出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w:t>
            </w:r>
          </w:p>
        </w:tc>
        <w:tc>
          <w:tcPr>
            <w:tcW w:w="3402" w:type="dxa"/>
            <w:vAlign w:val="center"/>
          </w:tcPr>
          <w:p>
            <w:pPr>
              <w:pStyle w:val="12"/>
              <w:rPr>
                <w:highlight w:val="none"/>
              </w:rPr>
            </w:pPr>
            <w:r>
              <w:rPr>
                <w:highlight w:val="none"/>
              </w:rPr>
              <w:t>二、政府性基金预算拨款</w:t>
            </w: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二、外交支出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w:t>
            </w:r>
          </w:p>
        </w:tc>
        <w:tc>
          <w:tcPr>
            <w:tcW w:w="3402" w:type="dxa"/>
            <w:vAlign w:val="center"/>
          </w:tcPr>
          <w:p>
            <w:pPr>
              <w:pStyle w:val="12"/>
              <w:rPr>
                <w:highlight w:val="none"/>
              </w:rPr>
            </w:pPr>
            <w:r>
              <w:rPr>
                <w:highlight w:val="none"/>
              </w:rPr>
              <w:t>三、国有资本经营预算拨款</w:t>
            </w: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三、国防支出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4</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四、公共安全支出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5</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五、教育支出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6</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六、科学技术支出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7</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七、文化旅游体育与传媒支出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8</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八、社会保障和就业支出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9</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九、社会保险基金支出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10</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十、卫生健康支出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11</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十一、节能环保支出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12</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十二、城乡社区支出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13</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十三、农林水支出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14</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十四、交通运输支出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15</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十五、资源勘探工业信息等支出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16</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十六、商业服务业等支出</w:t>
            </w:r>
          </w:p>
        </w:tc>
        <w:tc>
          <w:tcPr>
            <w:tcW w:w="1474" w:type="dxa"/>
            <w:vAlign w:val="center"/>
          </w:tcPr>
          <w:p>
            <w:pPr>
              <w:pStyle w:val="11"/>
              <w:rPr>
                <w:highlight w:val="none"/>
              </w:rPr>
            </w:pPr>
            <w:r>
              <w:rPr>
                <w:highlight w:val="none"/>
              </w:rPr>
              <w:t>66.92</w:t>
            </w:r>
          </w:p>
        </w:tc>
        <w:tc>
          <w:tcPr>
            <w:tcW w:w="1474" w:type="dxa"/>
            <w:vAlign w:val="center"/>
          </w:tcPr>
          <w:p>
            <w:pPr>
              <w:pStyle w:val="11"/>
              <w:rPr>
                <w:highlight w:val="none"/>
              </w:rPr>
            </w:pPr>
            <w:r>
              <w:rPr>
                <w:highlight w:val="none"/>
              </w:rPr>
              <w:t>66.92</w:t>
            </w: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17</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十七、金融支出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18</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十八、援助其他地区支出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19</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十九、自然资源海洋气象等支出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20</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二十、住房保障支出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21</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二十一、粮油物资储备支出</w:t>
            </w:r>
          </w:p>
        </w:tc>
        <w:tc>
          <w:tcPr>
            <w:tcW w:w="1474" w:type="dxa"/>
            <w:vAlign w:val="center"/>
          </w:tcPr>
          <w:p>
            <w:pPr>
              <w:pStyle w:val="11"/>
              <w:rPr>
                <w:highlight w:val="none"/>
              </w:rPr>
            </w:pPr>
            <w:r>
              <w:rPr>
                <w:highlight w:val="none"/>
              </w:rPr>
              <w:t>20.97</w:t>
            </w:r>
          </w:p>
        </w:tc>
        <w:tc>
          <w:tcPr>
            <w:tcW w:w="1474" w:type="dxa"/>
            <w:vAlign w:val="center"/>
          </w:tcPr>
          <w:p>
            <w:pPr>
              <w:pStyle w:val="11"/>
              <w:rPr>
                <w:highlight w:val="none"/>
              </w:rPr>
            </w:pPr>
            <w:r>
              <w:rPr>
                <w:highlight w:val="none"/>
              </w:rPr>
              <w:t>20.97</w:t>
            </w: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22</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二十二、国有资本经营预算支出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23</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二十三、灾害防治及应急管理支出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24</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二十四、预备费</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25</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二十五、其他支出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26</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二十六、转移性支出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27</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二十七、债务还本支出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28</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二十八、债务付息支出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29</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二十九、债务发行费用支出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30</w:t>
            </w:r>
          </w:p>
        </w:tc>
        <w:tc>
          <w:tcPr>
            <w:tcW w:w="3402" w:type="dxa"/>
            <w:vAlign w:val="center"/>
          </w:tcPr>
          <w:p>
            <w:pPr>
              <w:pStyle w:val="12"/>
              <w:rPr>
                <w:highlight w:val="none"/>
              </w:rPr>
            </w:pPr>
          </w:p>
        </w:tc>
        <w:tc>
          <w:tcPr>
            <w:tcW w:w="1474" w:type="dxa"/>
            <w:vAlign w:val="center"/>
          </w:tcPr>
          <w:p>
            <w:pPr>
              <w:pStyle w:val="11"/>
              <w:rPr>
                <w:highlight w:val="none"/>
              </w:rPr>
            </w:pPr>
          </w:p>
        </w:tc>
        <w:tc>
          <w:tcPr>
            <w:tcW w:w="3402" w:type="dxa"/>
            <w:vAlign w:val="center"/>
          </w:tcPr>
          <w:p>
            <w:pPr>
              <w:pStyle w:val="12"/>
              <w:rPr>
                <w:highlight w:val="none"/>
              </w:rPr>
            </w:pPr>
            <w:r>
              <w:rPr>
                <w:highlight w:val="none"/>
              </w:rPr>
              <w:t>三十、抗疫特别国债安排的支出</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31</w:t>
            </w:r>
          </w:p>
        </w:tc>
        <w:tc>
          <w:tcPr>
            <w:tcW w:w="3402" w:type="dxa"/>
            <w:vAlign w:val="center"/>
          </w:tcPr>
          <w:p>
            <w:pPr>
              <w:pStyle w:val="14"/>
              <w:rPr>
                <w:highlight w:val="none"/>
              </w:rPr>
            </w:pPr>
            <w:r>
              <w:rPr>
                <w:highlight w:val="none"/>
              </w:rPr>
              <w:t>本年收入合计</w:t>
            </w:r>
          </w:p>
        </w:tc>
        <w:tc>
          <w:tcPr>
            <w:tcW w:w="1474" w:type="dxa"/>
            <w:vAlign w:val="center"/>
          </w:tcPr>
          <w:p>
            <w:pPr>
              <w:pStyle w:val="15"/>
              <w:rPr>
                <w:highlight w:val="none"/>
              </w:rPr>
            </w:pPr>
            <w:r>
              <w:rPr>
                <w:highlight w:val="none"/>
              </w:rPr>
              <w:t>87.89</w:t>
            </w:r>
          </w:p>
        </w:tc>
        <w:tc>
          <w:tcPr>
            <w:tcW w:w="3402" w:type="dxa"/>
            <w:vAlign w:val="center"/>
          </w:tcPr>
          <w:p>
            <w:pPr>
              <w:pStyle w:val="14"/>
              <w:rPr>
                <w:highlight w:val="none"/>
              </w:rPr>
            </w:pPr>
            <w:r>
              <w:rPr>
                <w:highlight w:val="none"/>
              </w:rPr>
              <w:t>本年支出合计</w:t>
            </w:r>
          </w:p>
        </w:tc>
        <w:tc>
          <w:tcPr>
            <w:tcW w:w="1474" w:type="dxa"/>
            <w:vAlign w:val="center"/>
          </w:tcPr>
          <w:p>
            <w:pPr>
              <w:pStyle w:val="15"/>
              <w:rPr>
                <w:highlight w:val="none"/>
              </w:rPr>
            </w:pPr>
            <w:r>
              <w:rPr>
                <w:highlight w:val="none"/>
              </w:rPr>
              <w:t>87.89</w:t>
            </w:r>
          </w:p>
        </w:tc>
        <w:tc>
          <w:tcPr>
            <w:tcW w:w="1474" w:type="dxa"/>
            <w:vAlign w:val="center"/>
          </w:tcPr>
          <w:p>
            <w:pPr>
              <w:pStyle w:val="15"/>
              <w:rPr>
                <w:highlight w:val="none"/>
              </w:rPr>
            </w:pPr>
            <w:r>
              <w:rPr>
                <w:highlight w:val="none"/>
              </w:rPr>
              <w:t>87.89</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32</w:t>
            </w:r>
          </w:p>
        </w:tc>
        <w:tc>
          <w:tcPr>
            <w:tcW w:w="3402" w:type="dxa"/>
            <w:vAlign w:val="center"/>
          </w:tcPr>
          <w:p>
            <w:pPr>
              <w:pStyle w:val="12"/>
              <w:rPr>
                <w:highlight w:val="none"/>
              </w:rPr>
            </w:pPr>
            <w:r>
              <w:rPr>
                <w:highlight w:val="none"/>
              </w:rPr>
              <w:t>年初财政拨款结转和结余</w:t>
            </w:r>
          </w:p>
        </w:tc>
        <w:tc>
          <w:tcPr>
            <w:tcW w:w="1474" w:type="dxa"/>
            <w:vAlign w:val="center"/>
          </w:tcPr>
          <w:p>
            <w:pPr>
              <w:pStyle w:val="11"/>
              <w:rPr>
                <w:highlight w:val="none"/>
              </w:rPr>
            </w:pPr>
          </w:p>
        </w:tc>
        <w:tc>
          <w:tcPr>
            <w:tcW w:w="3402" w:type="dxa"/>
            <w:vAlign w:val="center"/>
          </w:tcPr>
          <w:p>
            <w:pPr>
              <w:pStyle w:val="12"/>
              <w:rPr>
                <w:highlight w:val="none"/>
              </w:rPr>
            </w:pPr>
            <w:r>
              <w:rPr>
                <w:highlight w:val="none"/>
              </w:rPr>
              <w:t>年末财政拨款结转和结余</w:t>
            </w: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33</w:t>
            </w:r>
          </w:p>
        </w:tc>
        <w:tc>
          <w:tcPr>
            <w:tcW w:w="3402" w:type="dxa"/>
            <w:vAlign w:val="center"/>
          </w:tcPr>
          <w:p>
            <w:pPr>
              <w:pStyle w:val="12"/>
              <w:rPr>
                <w:highlight w:val="none"/>
              </w:rPr>
            </w:pPr>
            <w:r>
              <w:rPr>
                <w:highlight w:val="none"/>
              </w:rPr>
              <w:t>一、一般公共预算拨款</w:t>
            </w:r>
          </w:p>
        </w:tc>
        <w:tc>
          <w:tcPr>
            <w:tcW w:w="1474" w:type="dxa"/>
            <w:vAlign w:val="center"/>
          </w:tcPr>
          <w:p>
            <w:pPr>
              <w:pStyle w:val="11"/>
              <w:rPr>
                <w:highlight w:val="none"/>
              </w:rPr>
            </w:pPr>
          </w:p>
        </w:tc>
        <w:tc>
          <w:tcPr>
            <w:tcW w:w="3402" w:type="dxa"/>
            <w:vAlign w:val="center"/>
          </w:tcPr>
          <w:p>
            <w:pPr>
              <w:pStyle w:val="12"/>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34</w:t>
            </w:r>
          </w:p>
        </w:tc>
        <w:tc>
          <w:tcPr>
            <w:tcW w:w="3402" w:type="dxa"/>
            <w:vAlign w:val="center"/>
          </w:tcPr>
          <w:p>
            <w:pPr>
              <w:pStyle w:val="12"/>
              <w:rPr>
                <w:highlight w:val="none"/>
              </w:rPr>
            </w:pPr>
            <w:r>
              <w:rPr>
                <w:highlight w:val="none"/>
              </w:rPr>
              <w:t>二、政府性基金预算拨款</w:t>
            </w:r>
          </w:p>
        </w:tc>
        <w:tc>
          <w:tcPr>
            <w:tcW w:w="1474" w:type="dxa"/>
            <w:vAlign w:val="center"/>
          </w:tcPr>
          <w:p>
            <w:pPr>
              <w:pStyle w:val="11"/>
              <w:rPr>
                <w:highlight w:val="none"/>
              </w:rPr>
            </w:pPr>
          </w:p>
        </w:tc>
        <w:tc>
          <w:tcPr>
            <w:tcW w:w="3402" w:type="dxa"/>
            <w:vAlign w:val="center"/>
          </w:tcPr>
          <w:p>
            <w:pPr>
              <w:pStyle w:val="12"/>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35</w:t>
            </w:r>
          </w:p>
        </w:tc>
        <w:tc>
          <w:tcPr>
            <w:tcW w:w="3402" w:type="dxa"/>
            <w:vAlign w:val="center"/>
          </w:tcPr>
          <w:p>
            <w:pPr>
              <w:pStyle w:val="12"/>
              <w:rPr>
                <w:highlight w:val="none"/>
              </w:rPr>
            </w:pPr>
            <w:r>
              <w:rPr>
                <w:highlight w:val="none"/>
              </w:rPr>
              <w:t>三、国有资本经营预算拨款</w:t>
            </w:r>
          </w:p>
        </w:tc>
        <w:tc>
          <w:tcPr>
            <w:tcW w:w="1474" w:type="dxa"/>
            <w:vAlign w:val="center"/>
          </w:tcPr>
          <w:p>
            <w:pPr>
              <w:pStyle w:val="11"/>
              <w:rPr>
                <w:highlight w:val="none"/>
              </w:rPr>
            </w:pPr>
          </w:p>
        </w:tc>
        <w:tc>
          <w:tcPr>
            <w:tcW w:w="3402" w:type="dxa"/>
            <w:vAlign w:val="center"/>
          </w:tcPr>
          <w:p>
            <w:pPr>
              <w:pStyle w:val="12"/>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c>
          <w:tcPr>
            <w:tcW w:w="1474"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36</w:t>
            </w:r>
          </w:p>
        </w:tc>
        <w:tc>
          <w:tcPr>
            <w:tcW w:w="3402" w:type="dxa"/>
            <w:vAlign w:val="center"/>
          </w:tcPr>
          <w:p>
            <w:pPr>
              <w:pStyle w:val="14"/>
              <w:rPr>
                <w:highlight w:val="none"/>
              </w:rPr>
            </w:pPr>
            <w:r>
              <w:rPr>
                <w:highlight w:val="none"/>
              </w:rPr>
              <w:t>收入总计</w:t>
            </w:r>
          </w:p>
        </w:tc>
        <w:tc>
          <w:tcPr>
            <w:tcW w:w="1474" w:type="dxa"/>
            <w:vAlign w:val="center"/>
          </w:tcPr>
          <w:p>
            <w:pPr>
              <w:pStyle w:val="15"/>
              <w:rPr>
                <w:highlight w:val="none"/>
              </w:rPr>
            </w:pPr>
            <w:r>
              <w:rPr>
                <w:highlight w:val="none"/>
              </w:rPr>
              <w:t>87.89</w:t>
            </w:r>
          </w:p>
        </w:tc>
        <w:tc>
          <w:tcPr>
            <w:tcW w:w="3402" w:type="dxa"/>
            <w:vAlign w:val="center"/>
          </w:tcPr>
          <w:p>
            <w:pPr>
              <w:pStyle w:val="14"/>
              <w:rPr>
                <w:highlight w:val="none"/>
              </w:rPr>
            </w:pPr>
            <w:r>
              <w:rPr>
                <w:highlight w:val="none"/>
              </w:rPr>
              <w:t>支出总计</w:t>
            </w:r>
          </w:p>
        </w:tc>
        <w:tc>
          <w:tcPr>
            <w:tcW w:w="1474" w:type="dxa"/>
            <w:vAlign w:val="center"/>
          </w:tcPr>
          <w:p>
            <w:pPr>
              <w:pStyle w:val="15"/>
              <w:rPr>
                <w:highlight w:val="none"/>
              </w:rPr>
            </w:pPr>
            <w:r>
              <w:rPr>
                <w:highlight w:val="none"/>
              </w:rPr>
              <w:t>87.89</w:t>
            </w:r>
          </w:p>
        </w:tc>
        <w:tc>
          <w:tcPr>
            <w:tcW w:w="1474" w:type="dxa"/>
            <w:vAlign w:val="center"/>
          </w:tcPr>
          <w:p>
            <w:pPr>
              <w:pStyle w:val="15"/>
              <w:rPr>
                <w:highlight w:val="none"/>
              </w:rPr>
            </w:pPr>
            <w:r>
              <w:rPr>
                <w:highlight w:val="none"/>
              </w:rPr>
              <w:t>87.89</w:t>
            </w:r>
          </w:p>
        </w:tc>
        <w:tc>
          <w:tcPr>
            <w:tcW w:w="1474" w:type="dxa"/>
            <w:vAlign w:val="center"/>
          </w:tcPr>
          <w:p>
            <w:pPr>
              <w:pStyle w:val="15"/>
              <w:rPr>
                <w:highlight w:val="none"/>
              </w:rPr>
            </w:pPr>
          </w:p>
        </w:tc>
        <w:tc>
          <w:tcPr>
            <w:tcW w:w="147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551" w:type="dxa"/>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5726" w:type="dxa"/>
            <w:gridSpan w:val="2"/>
            <w:vAlign w:val="center"/>
          </w:tcPr>
          <w:p>
            <w:pPr>
              <w:pStyle w:val="10"/>
              <w:rPr>
                <w:highlight w:val="none"/>
              </w:rPr>
            </w:pPr>
            <w:r>
              <w:rPr>
                <w:highlight w:val="none"/>
              </w:rPr>
              <w:t>功能分类科目</w:t>
            </w:r>
          </w:p>
        </w:tc>
        <w:tc>
          <w:tcPr>
            <w:tcW w:w="2551" w:type="dxa"/>
            <w:vMerge w:val="restart"/>
            <w:vAlign w:val="center"/>
          </w:tcPr>
          <w:p>
            <w:pPr>
              <w:pStyle w:val="10"/>
              <w:rPr>
                <w:highlight w:val="none"/>
              </w:rPr>
            </w:pPr>
            <w:r>
              <w:rPr>
                <w:highlight w:val="none"/>
              </w:rPr>
              <w:t>合计</w:t>
            </w:r>
          </w:p>
        </w:tc>
        <w:tc>
          <w:tcPr>
            <w:tcW w:w="2551" w:type="dxa"/>
            <w:vMerge w:val="restart"/>
            <w:vAlign w:val="center"/>
          </w:tcPr>
          <w:p>
            <w:pPr>
              <w:pStyle w:val="10"/>
              <w:rPr>
                <w:highlight w:val="none"/>
              </w:rPr>
            </w:pPr>
            <w:r>
              <w:rPr>
                <w:highlight w:val="none"/>
              </w:rPr>
              <w:t>基本支出</w:t>
            </w:r>
          </w:p>
        </w:tc>
        <w:tc>
          <w:tcPr>
            <w:tcW w:w="2551" w:type="dxa"/>
            <w:vMerge w:val="restart"/>
            <w:vAlign w:val="center"/>
          </w:tcPr>
          <w:p>
            <w:pPr>
              <w:pStyle w:val="10"/>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0"/>
              <w:rPr>
                <w:highlight w:val="none"/>
              </w:rPr>
            </w:pPr>
            <w:r>
              <w:rPr>
                <w:highlight w:val="none"/>
              </w:rPr>
              <w:t>科目编码</w:t>
            </w:r>
          </w:p>
        </w:tc>
        <w:tc>
          <w:tcPr>
            <w:tcW w:w="4535" w:type="dxa"/>
            <w:vAlign w:val="center"/>
          </w:tcPr>
          <w:p>
            <w:pPr>
              <w:pStyle w:val="10"/>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1191" w:type="dxa"/>
            <w:vAlign w:val="center"/>
          </w:tcPr>
          <w:p>
            <w:pPr>
              <w:pStyle w:val="10"/>
              <w:rPr>
                <w:highlight w:val="none"/>
              </w:rPr>
            </w:pPr>
            <w:r>
              <w:rPr>
                <w:highlight w:val="none"/>
              </w:rPr>
              <w:t>1</w:t>
            </w:r>
          </w:p>
        </w:tc>
        <w:tc>
          <w:tcPr>
            <w:tcW w:w="4535" w:type="dxa"/>
            <w:vAlign w:val="center"/>
          </w:tcPr>
          <w:p>
            <w:pPr>
              <w:pStyle w:val="10"/>
              <w:rPr>
                <w:highlight w:val="none"/>
              </w:rPr>
            </w:pPr>
            <w:r>
              <w:rPr>
                <w:highlight w:val="none"/>
              </w:rPr>
              <w:t>2</w:t>
            </w:r>
          </w:p>
        </w:tc>
        <w:tc>
          <w:tcPr>
            <w:tcW w:w="2551" w:type="dxa"/>
            <w:vAlign w:val="center"/>
          </w:tcPr>
          <w:p>
            <w:pPr>
              <w:pStyle w:val="10"/>
              <w:rPr>
                <w:highlight w:val="none"/>
              </w:rPr>
            </w:pPr>
            <w:r>
              <w:rPr>
                <w:highlight w:val="none"/>
              </w:rPr>
              <w:t>3</w:t>
            </w:r>
          </w:p>
        </w:tc>
        <w:tc>
          <w:tcPr>
            <w:tcW w:w="2551" w:type="dxa"/>
            <w:vAlign w:val="center"/>
          </w:tcPr>
          <w:p>
            <w:pPr>
              <w:pStyle w:val="10"/>
              <w:rPr>
                <w:highlight w:val="none"/>
              </w:rPr>
            </w:pPr>
            <w:r>
              <w:rPr>
                <w:highlight w:val="none"/>
              </w:rPr>
              <w:t>4</w:t>
            </w:r>
          </w:p>
        </w:tc>
        <w:tc>
          <w:tcPr>
            <w:tcW w:w="2551" w:type="dxa"/>
            <w:vAlign w:val="center"/>
          </w:tcPr>
          <w:p>
            <w:pPr>
              <w:pStyle w:val="10"/>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w:t>
            </w:r>
          </w:p>
        </w:tc>
        <w:tc>
          <w:tcPr>
            <w:tcW w:w="1191" w:type="dxa"/>
            <w:vAlign w:val="center"/>
          </w:tcPr>
          <w:p>
            <w:pPr>
              <w:pStyle w:val="16"/>
              <w:rPr>
                <w:highlight w:val="none"/>
              </w:rPr>
            </w:pPr>
          </w:p>
        </w:tc>
        <w:tc>
          <w:tcPr>
            <w:tcW w:w="4535" w:type="dxa"/>
            <w:vAlign w:val="center"/>
          </w:tcPr>
          <w:p>
            <w:pPr>
              <w:pStyle w:val="14"/>
              <w:rPr>
                <w:highlight w:val="none"/>
              </w:rPr>
            </w:pPr>
            <w:r>
              <w:rPr>
                <w:highlight w:val="none"/>
              </w:rPr>
              <w:t>合计</w:t>
            </w:r>
          </w:p>
        </w:tc>
        <w:tc>
          <w:tcPr>
            <w:tcW w:w="2551" w:type="dxa"/>
            <w:vAlign w:val="center"/>
          </w:tcPr>
          <w:p>
            <w:pPr>
              <w:pStyle w:val="15"/>
              <w:rPr>
                <w:highlight w:val="none"/>
              </w:rPr>
            </w:pPr>
            <w:r>
              <w:rPr>
                <w:highlight w:val="none"/>
              </w:rPr>
              <w:t>87.89</w:t>
            </w:r>
          </w:p>
        </w:tc>
        <w:tc>
          <w:tcPr>
            <w:tcW w:w="2551" w:type="dxa"/>
            <w:vAlign w:val="center"/>
          </w:tcPr>
          <w:p>
            <w:pPr>
              <w:pStyle w:val="15"/>
              <w:rPr>
                <w:highlight w:val="none"/>
              </w:rPr>
            </w:pPr>
            <w:r>
              <w:rPr>
                <w:highlight w:val="none"/>
              </w:rPr>
              <w:t>20.97</w:t>
            </w:r>
          </w:p>
        </w:tc>
        <w:tc>
          <w:tcPr>
            <w:tcW w:w="2551" w:type="dxa"/>
            <w:vAlign w:val="center"/>
          </w:tcPr>
          <w:p>
            <w:pPr>
              <w:pStyle w:val="15"/>
              <w:rPr>
                <w:highlight w:val="none"/>
              </w:rPr>
            </w:pPr>
            <w:r>
              <w:rPr>
                <w:highlight w:val="none"/>
              </w:rP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w:t>
            </w:r>
          </w:p>
        </w:tc>
        <w:tc>
          <w:tcPr>
            <w:tcW w:w="1191" w:type="dxa"/>
            <w:vAlign w:val="center"/>
          </w:tcPr>
          <w:p>
            <w:pPr>
              <w:pStyle w:val="12"/>
              <w:rPr>
                <w:highlight w:val="none"/>
              </w:rPr>
            </w:pPr>
            <w:r>
              <w:rPr>
                <w:highlight w:val="none"/>
              </w:rPr>
              <w:t>216</w:t>
            </w:r>
          </w:p>
        </w:tc>
        <w:tc>
          <w:tcPr>
            <w:tcW w:w="4535" w:type="dxa"/>
            <w:vAlign w:val="center"/>
          </w:tcPr>
          <w:p>
            <w:pPr>
              <w:pStyle w:val="12"/>
              <w:rPr>
                <w:highlight w:val="none"/>
              </w:rPr>
            </w:pPr>
            <w:r>
              <w:rPr>
                <w:highlight w:val="none"/>
              </w:rPr>
              <w:t>商业服务业等支出</w:t>
            </w:r>
          </w:p>
        </w:tc>
        <w:tc>
          <w:tcPr>
            <w:tcW w:w="2551" w:type="dxa"/>
            <w:vAlign w:val="center"/>
          </w:tcPr>
          <w:p>
            <w:pPr>
              <w:pStyle w:val="11"/>
              <w:rPr>
                <w:highlight w:val="none"/>
              </w:rPr>
            </w:pPr>
            <w:r>
              <w:rPr>
                <w:highlight w:val="none"/>
              </w:rPr>
              <w:t>66.92</w:t>
            </w:r>
          </w:p>
        </w:tc>
        <w:tc>
          <w:tcPr>
            <w:tcW w:w="2551" w:type="dxa"/>
            <w:vAlign w:val="center"/>
          </w:tcPr>
          <w:p>
            <w:pPr>
              <w:pStyle w:val="11"/>
              <w:rPr>
                <w:highlight w:val="none"/>
              </w:rPr>
            </w:pPr>
          </w:p>
        </w:tc>
        <w:tc>
          <w:tcPr>
            <w:tcW w:w="2551" w:type="dxa"/>
            <w:vAlign w:val="center"/>
          </w:tcPr>
          <w:p>
            <w:pPr>
              <w:pStyle w:val="11"/>
              <w:rPr>
                <w:highlight w:val="none"/>
              </w:rPr>
            </w:pPr>
            <w:r>
              <w:rPr>
                <w:highlight w:val="none"/>
              </w:rP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w:t>
            </w:r>
          </w:p>
        </w:tc>
        <w:tc>
          <w:tcPr>
            <w:tcW w:w="1191" w:type="dxa"/>
            <w:vAlign w:val="center"/>
          </w:tcPr>
          <w:p>
            <w:pPr>
              <w:pStyle w:val="12"/>
              <w:rPr>
                <w:highlight w:val="none"/>
              </w:rPr>
            </w:pPr>
            <w:r>
              <w:rPr>
                <w:highlight w:val="none"/>
              </w:rPr>
              <w:t>21602</w:t>
            </w:r>
          </w:p>
        </w:tc>
        <w:tc>
          <w:tcPr>
            <w:tcW w:w="4535" w:type="dxa"/>
            <w:vAlign w:val="center"/>
          </w:tcPr>
          <w:p>
            <w:pPr>
              <w:pStyle w:val="12"/>
              <w:rPr>
                <w:highlight w:val="none"/>
              </w:rPr>
            </w:pPr>
            <w:r>
              <w:rPr>
                <w:highlight w:val="none"/>
              </w:rPr>
              <w:t>商业流通事务</w:t>
            </w:r>
          </w:p>
        </w:tc>
        <w:tc>
          <w:tcPr>
            <w:tcW w:w="2551" w:type="dxa"/>
            <w:vAlign w:val="center"/>
          </w:tcPr>
          <w:p>
            <w:pPr>
              <w:pStyle w:val="11"/>
              <w:rPr>
                <w:highlight w:val="none"/>
              </w:rPr>
            </w:pPr>
            <w:r>
              <w:rPr>
                <w:highlight w:val="none"/>
              </w:rPr>
              <w:t>66.92</w:t>
            </w:r>
          </w:p>
        </w:tc>
        <w:tc>
          <w:tcPr>
            <w:tcW w:w="2551" w:type="dxa"/>
            <w:vAlign w:val="center"/>
          </w:tcPr>
          <w:p>
            <w:pPr>
              <w:pStyle w:val="11"/>
              <w:rPr>
                <w:highlight w:val="none"/>
              </w:rPr>
            </w:pPr>
          </w:p>
        </w:tc>
        <w:tc>
          <w:tcPr>
            <w:tcW w:w="2551" w:type="dxa"/>
            <w:vAlign w:val="center"/>
          </w:tcPr>
          <w:p>
            <w:pPr>
              <w:pStyle w:val="11"/>
              <w:rPr>
                <w:highlight w:val="none"/>
              </w:rPr>
            </w:pPr>
            <w:r>
              <w:rPr>
                <w:highlight w:val="none"/>
              </w:rP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4</w:t>
            </w:r>
          </w:p>
        </w:tc>
        <w:tc>
          <w:tcPr>
            <w:tcW w:w="1191" w:type="dxa"/>
            <w:vAlign w:val="center"/>
          </w:tcPr>
          <w:p>
            <w:pPr>
              <w:pStyle w:val="12"/>
              <w:rPr>
                <w:highlight w:val="none"/>
              </w:rPr>
            </w:pPr>
            <w:r>
              <w:rPr>
                <w:highlight w:val="none"/>
              </w:rPr>
              <w:t>2160299</w:t>
            </w:r>
          </w:p>
        </w:tc>
        <w:tc>
          <w:tcPr>
            <w:tcW w:w="4535" w:type="dxa"/>
            <w:vAlign w:val="center"/>
          </w:tcPr>
          <w:p>
            <w:pPr>
              <w:pStyle w:val="12"/>
              <w:rPr>
                <w:highlight w:val="none"/>
              </w:rPr>
            </w:pPr>
            <w:r>
              <w:rPr>
                <w:highlight w:val="none"/>
              </w:rPr>
              <w:t>其他商业流通事务支出</w:t>
            </w:r>
          </w:p>
        </w:tc>
        <w:tc>
          <w:tcPr>
            <w:tcW w:w="2551" w:type="dxa"/>
            <w:vAlign w:val="center"/>
          </w:tcPr>
          <w:p>
            <w:pPr>
              <w:pStyle w:val="11"/>
              <w:rPr>
                <w:highlight w:val="none"/>
              </w:rPr>
            </w:pPr>
            <w:r>
              <w:rPr>
                <w:highlight w:val="none"/>
              </w:rPr>
              <w:t>66.92</w:t>
            </w:r>
          </w:p>
        </w:tc>
        <w:tc>
          <w:tcPr>
            <w:tcW w:w="2551" w:type="dxa"/>
            <w:vAlign w:val="center"/>
          </w:tcPr>
          <w:p>
            <w:pPr>
              <w:pStyle w:val="11"/>
              <w:rPr>
                <w:highlight w:val="none"/>
              </w:rPr>
            </w:pPr>
          </w:p>
        </w:tc>
        <w:tc>
          <w:tcPr>
            <w:tcW w:w="2551" w:type="dxa"/>
            <w:vAlign w:val="center"/>
          </w:tcPr>
          <w:p>
            <w:pPr>
              <w:pStyle w:val="11"/>
              <w:rPr>
                <w:highlight w:val="none"/>
              </w:rPr>
            </w:pPr>
            <w:r>
              <w:rPr>
                <w:highlight w:val="none"/>
              </w:rPr>
              <w:t>66.92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5</w:t>
            </w:r>
          </w:p>
        </w:tc>
        <w:tc>
          <w:tcPr>
            <w:tcW w:w="1191" w:type="dxa"/>
            <w:vAlign w:val="center"/>
          </w:tcPr>
          <w:p>
            <w:pPr>
              <w:pStyle w:val="12"/>
              <w:rPr>
                <w:highlight w:val="none"/>
              </w:rPr>
            </w:pPr>
            <w:r>
              <w:rPr>
                <w:highlight w:val="none"/>
              </w:rPr>
              <w:t>222</w:t>
            </w:r>
          </w:p>
        </w:tc>
        <w:tc>
          <w:tcPr>
            <w:tcW w:w="4535" w:type="dxa"/>
            <w:vAlign w:val="center"/>
          </w:tcPr>
          <w:p>
            <w:pPr>
              <w:pStyle w:val="12"/>
              <w:rPr>
                <w:highlight w:val="none"/>
              </w:rPr>
            </w:pPr>
            <w:r>
              <w:rPr>
                <w:highlight w:val="none"/>
              </w:rPr>
              <w:t>粮油物资储备支出</w:t>
            </w:r>
          </w:p>
        </w:tc>
        <w:tc>
          <w:tcPr>
            <w:tcW w:w="2551" w:type="dxa"/>
            <w:vAlign w:val="center"/>
          </w:tcPr>
          <w:p>
            <w:pPr>
              <w:pStyle w:val="11"/>
              <w:rPr>
                <w:highlight w:val="none"/>
              </w:rPr>
            </w:pPr>
            <w:r>
              <w:rPr>
                <w:highlight w:val="none"/>
              </w:rPr>
              <w:t>20.97</w:t>
            </w:r>
          </w:p>
        </w:tc>
        <w:tc>
          <w:tcPr>
            <w:tcW w:w="2551" w:type="dxa"/>
            <w:vAlign w:val="center"/>
          </w:tcPr>
          <w:p>
            <w:pPr>
              <w:pStyle w:val="11"/>
              <w:rPr>
                <w:highlight w:val="none"/>
              </w:rPr>
            </w:pPr>
            <w:r>
              <w:rPr>
                <w:highlight w:val="none"/>
              </w:rPr>
              <w:t>20.97</w:t>
            </w:r>
          </w:p>
        </w:tc>
        <w:tc>
          <w:tcPr>
            <w:tcW w:w="255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6</w:t>
            </w:r>
          </w:p>
        </w:tc>
        <w:tc>
          <w:tcPr>
            <w:tcW w:w="1191" w:type="dxa"/>
            <w:vAlign w:val="center"/>
          </w:tcPr>
          <w:p>
            <w:pPr>
              <w:pStyle w:val="12"/>
              <w:rPr>
                <w:highlight w:val="none"/>
              </w:rPr>
            </w:pPr>
            <w:r>
              <w:rPr>
                <w:highlight w:val="none"/>
              </w:rPr>
              <w:t>22201</w:t>
            </w:r>
          </w:p>
        </w:tc>
        <w:tc>
          <w:tcPr>
            <w:tcW w:w="4535" w:type="dxa"/>
            <w:vAlign w:val="center"/>
          </w:tcPr>
          <w:p>
            <w:pPr>
              <w:pStyle w:val="12"/>
              <w:rPr>
                <w:highlight w:val="none"/>
              </w:rPr>
            </w:pPr>
            <w:r>
              <w:rPr>
                <w:highlight w:val="none"/>
              </w:rPr>
              <w:t>粮油物资事务</w:t>
            </w:r>
          </w:p>
        </w:tc>
        <w:tc>
          <w:tcPr>
            <w:tcW w:w="2551" w:type="dxa"/>
            <w:vAlign w:val="center"/>
          </w:tcPr>
          <w:p>
            <w:pPr>
              <w:pStyle w:val="11"/>
              <w:rPr>
                <w:highlight w:val="none"/>
              </w:rPr>
            </w:pPr>
            <w:r>
              <w:rPr>
                <w:highlight w:val="none"/>
              </w:rPr>
              <w:t>20.97</w:t>
            </w:r>
          </w:p>
        </w:tc>
        <w:tc>
          <w:tcPr>
            <w:tcW w:w="2551" w:type="dxa"/>
            <w:vAlign w:val="center"/>
          </w:tcPr>
          <w:p>
            <w:pPr>
              <w:pStyle w:val="11"/>
              <w:rPr>
                <w:highlight w:val="none"/>
              </w:rPr>
            </w:pPr>
            <w:r>
              <w:rPr>
                <w:highlight w:val="none"/>
              </w:rPr>
              <w:t>20.97</w:t>
            </w:r>
          </w:p>
        </w:tc>
        <w:tc>
          <w:tcPr>
            <w:tcW w:w="2551"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7</w:t>
            </w:r>
          </w:p>
        </w:tc>
        <w:tc>
          <w:tcPr>
            <w:tcW w:w="1191" w:type="dxa"/>
            <w:vAlign w:val="center"/>
          </w:tcPr>
          <w:p>
            <w:pPr>
              <w:pStyle w:val="12"/>
              <w:rPr>
                <w:highlight w:val="none"/>
              </w:rPr>
            </w:pPr>
            <w:r>
              <w:rPr>
                <w:highlight w:val="none"/>
              </w:rPr>
              <w:t>2220101</w:t>
            </w:r>
          </w:p>
        </w:tc>
        <w:tc>
          <w:tcPr>
            <w:tcW w:w="4535" w:type="dxa"/>
            <w:vAlign w:val="center"/>
          </w:tcPr>
          <w:p>
            <w:pPr>
              <w:pStyle w:val="12"/>
              <w:rPr>
                <w:highlight w:val="none"/>
              </w:rPr>
            </w:pPr>
            <w:r>
              <w:rPr>
                <w:highlight w:val="none"/>
              </w:rPr>
              <w:t>行政运行</w:t>
            </w:r>
          </w:p>
        </w:tc>
        <w:tc>
          <w:tcPr>
            <w:tcW w:w="2551" w:type="dxa"/>
            <w:vAlign w:val="center"/>
          </w:tcPr>
          <w:p>
            <w:pPr>
              <w:pStyle w:val="11"/>
              <w:rPr>
                <w:highlight w:val="none"/>
              </w:rPr>
            </w:pPr>
            <w:r>
              <w:rPr>
                <w:highlight w:val="none"/>
              </w:rPr>
              <w:t>20.97</w:t>
            </w:r>
          </w:p>
        </w:tc>
        <w:tc>
          <w:tcPr>
            <w:tcW w:w="2551" w:type="dxa"/>
            <w:vAlign w:val="center"/>
          </w:tcPr>
          <w:p>
            <w:pPr>
              <w:pStyle w:val="11"/>
              <w:rPr>
                <w:highlight w:val="none"/>
              </w:rPr>
            </w:pPr>
            <w:r>
              <w:rPr>
                <w:highlight w:val="none"/>
              </w:rPr>
              <w:t>20.97</w:t>
            </w:r>
          </w:p>
        </w:tc>
        <w:tc>
          <w:tcPr>
            <w:tcW w:w="2551"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551" w:type="dxa"/>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103"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5726" w:type="dxa"/>
            <w:gridSpan w:val="2"/>
            <w:vAlign w:val="center"/>
          </w:tcPr>
          <w:p>
            <w:pPr>
              <w:pStyle w:val="10"/>
              <w:rPr>
                <w:highlight w:val="none"/>
              </w:rPr>
            </w:pPr>
            <w:r>
              <w:rPr>
                <w:highlight w:val="none"/>
              </w:rPr>
              <w:t>支出部门经济分类科目</w:t>
            </w:r>
          </w:p>
        </w:tc>
        <w:tc>
          <w:tcPr>
            <w:tcW w:w="7654" w:type="dxa"/>
            <w:gridSpan w:val="3"/>
            <w:vAlign w:val="center"/>
          </w:tcPr>
          <w:p>
            <w:pPr>
              <w:pStyle w:val="10"/>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0"/>
              <w:rPr>
                <w:highlight w:val="none"/>
              </w:rPr>
            </w:pPr>
            <w:r>
              <w:rPr>
                <w:highlight w:val="none"/>
              </w:rPr>
              <w:t>科目编码</w:t>
            </w:r>
          </w:p>
        </w:tc>
        <w:tc>
          <w:tcPr>
            <w:tcW w:w="4535" w:type="dxa"/>
            <w:vAlign w:val="center"/>
          </w:tcPr>
          <w:p>
            <w:pPr>
              <w:pStyle w:val="10"/>
              <w:rPr>
                <w:highlight w:val="none"/>
              </w:rPr>
            </w:pPr>
            <w:r>
              <w:rPr>
                <w:highlight w:val="none"/>
              </w:rPr>
              <w:t>科目名称</w:t>
            </w:r>
          </w:p>
        </w:tc>
        <w:tc>
          <w:tcPr>
            <w:tcW w:w="2551" w:type="dxa"/>
            <w:vAlign w:val="center"/>
          </w:tcPr>
          <w:p>
            <w:pPr>
              <w:pStyle w:val="10"/>
              <w:rPr>
                <w:highlight w:val="none"/>
              </w:rPr>
            </w:pPr>
            <w:r>
              <w:rPr>
                <w:highlight w:val="none"/>
              </w:rPr>
              <w:t>合计</w:t>
            </w:r>
          </w:p>
        </w:tc>
        <w:tc>
          <w:tcPr>
            <w:tcW w:w="2551" w:type="dxa"/>
            <w:vAlign w:val="center"/>
          </w:tcPr>
          <w:p>
            <w:pPr>
              <w:pStyle w:val="10"/>
              <w:rPr>
                <w:highlight w:val="none"/>
              </w:rPr>
            </w:pPr>
            <w:r>
              <w:rPr>
                <w:highlight w:val="none"/>
              </w:rPr>
              <w:t>人员经费</w:t>
            </w:r>
          </w:p>
        </w:tc>
        <w:tc>
          <w:tcPr>
            <w:tcW w:w="2552" w:type="dxa"/>
            <w:vAlign w:val="center"/>
          </w:tcPr>
          <w:p>
            <w:pPr>
              <w:pStyle w:val="10"/>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1191" w:type="dxa"/>
            <w:vAlign w:val="center"/>
          </w:tcPr>
          <w:p>
            <w:pPr>
              <w:pStyle w:val="10"/>
              <w:rPr>
                <w:highlight w:val="none"/>
              </w:rPr>
            </w:pPr>
            <w:r>
              <w:rPr>
                <w:highlight w:val="none"/>
              </w:rPr>
              <w:t>1</w:t>
            </w:r>
          </w:p>
        </w:tc>
        <w:tc>
          <w:tcPr>
            <w:tcW w:w="4535" w:type="dxa"/>
            <w:vAlign w:val="center"/>
          </w:tcPr>
          <w:p>
            <w:pPr>
              <w:pStyle w:val="10"/>
              <w:rPr>
                <w:highlight w:val="none"/>
              </w:rPr>
            </w:pPr>
            <w:r>
              <w:rPr>
                <w:highlight w:val="none"/>
              </w:rPr>
              <w:t>2</w:t>
            </w:r>
          </w:p>
        </w:tc>
        <w:tc>
          <w:tcPr>
            <w:tcW w:w="2551" w:type="dxa"/>
            <w:vAlign w:val="center"/>
          </w:tcPr>
          <w:p>
            <w:pPr>
              <w:pStyle w:val="10"/>
              <w:rPr>
                <w:highlight w:val="none"/>
              </w:rPr>
            </w:pPr>
            <w:r>
              <w:rPr>
                <w:highlight w:val="none"/>
              </w:rPr>
              <w:t>3</w:t>
            </w:r>
          </w:p>
        </w:tc>
        <w:tc>
          <w:tcPr>
            <w:tcW w:w="2551" w:type="dxa"/>
            <w:vAlign w:val="center"/>
          </w:tcPr>
          <w:p>
            <w:pPr>
              <w:pStyle w:val="10"/>
              <w:rPr>
                <w:highlight w:val="none"/>
              </w:rPr>
            </w:pPr>
            <w:r>
              <w:rPr>
                <w:highlight w:val="none"/>
              </w:rPr>
              <w:t>4</w:t>
            </w:r>
          </w:p>
        </w:tc>
        <w:tc>
          <w:tcPr>
            <w:tcW w:w="2552" w:type="dxa"/>
            <w:vAlign w:val="center"/>
          </w:tcPr>
          <w:p>
            <w:pPr>
              <w:pStyle w:val="10"/>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1</w:t>
            </w:r>
          </w:p>
        </w:tc>
        <w:tc>
          <w:tcPr>
            <w:tcW w:w="1191" w:type="dxa"/>
            <w:vAlign w:val="center"/>
          </w:tcPr>
          <w:p>
            <w:pPr>
              <w:pStyle w:val="16"/>
              <w:rPr>
                <w:highlight w:val="none"/>
              </w:rPr>
            </w:pPr>
          </w:p>
        </w:tc>
        <w:tc>
          <w:tcPr>
            <w:tcW w:w="4535" w:type="dxa"/>
            <w:vAlign w:val="center"/>
          </w:tcPr>
          <w:p>
            <w:pPr>
              <w:pStyle w:val="14"/>
              <w:rPr>
                <w:highlight w:val="none"/>
              </w:rPr>
            </w:pPr>
            <w:r>
              <w:rPr>
                <w:highlight w:val="none"/>
              </w:rPr>
              <w:t>合计</w:t>
            </w:r>
          </w:p>
        </w:tc>
        <w:tc>
          <w:tcPr>
            <w:tcW w:w="2551" w:type="dxa"/>
            <w:vAlign w:val="center"/>
          </w:tcPr>
          <w:p>
            <w:pPr>
              <w:pStyle w:val="15"/>
              <w:rPr>
                <w:highlight w:val="none"/>
              </w:rPr>
            </w:pPr>
            <w:r>
              <w:rPr>
                <w:highlight w:val="none"/>
              </w:rPr>
              <w:t>20.97</w:t>
            </w:r>
          </w:p>
        </w:tc>
        <w:tc>
          <w:tcPr>
            <w:tcW w:w="2551" w:type="dxa"/>
            <w:vAlign w:val="center"/>
          </w:tcPr>
          <w:p>
            <w:pPr>
              <w:pStyle w:val="15"/>
              <w:rPr>
                <w:highlight w:val="none"/>
              </w:rPr>
            </w:pPr>
            <w:r>
              <w:rPr>
                <w:highlight w:val="none"/>
              </w:rPr>
              <w:t>20.50</w:t>
            </w:r>
          </w:p>
        </w:tc>
        <w:tc>
          <w:tcPr>
            <w:tcW w:w="2552" w:type="dxa"/>
            <w:vAlign w:val="center"/>
          </w:tcPr>
          <w:p>
            <w:pPr>
              <w:pStyle w:val="15"/>
              <w:rPr>
                <w:highlight w:val="none"/>
              </w:rPr>
            </w:pPr>
            <w:r>
              <w:rPr>
                <w:highlight w:val="none"/>
              </w:rP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2</w:t>
            </w:r>
          </w:p>
        </w:tc>
        <w:tc>
          <w:tcPr>
            <w:tcW w:w="1191" w:type="dxa"/>
            <w:vAlign w:val="center"/>
          </w:tcPr>
          <w:p>
            <w:pPr>
              <w:pStyle w:val="12"/>
              <w:rPr>
                <w:highlight w:val="none"/>
              </w:rPr>
            </w:pPr>
            <w:r>
              <w:rPr>
                <w:highlight w:val="none"/>
              </w:rPr>
              <w:t>302</w:t>
            </w:r>
          </w:p>
        </w:tc>
        <w:tc>
          <w:tcPr>
            <w:tcW w:w="4535" w:type="dxa"/>
            <w:vAlign w:val="center"/>
          </w:tcPr>
          <w:p>
            <w:pPr>
              <w:pStyle w:val="12"/>
              <w:rPr>
                <w:highlight w:val="none"/>
              </w:rPr>
            </w:pPr>
            <w:r>
              <w:rPr>
                <w:highlight w:val="none"/>
              </w:rPr>
              <w:t>商品和服务支出</w:t>
            </w:r>
          </w:p>
        </w:tc>
        <w:tc>
          <w:tcPr>
            <w:tcW w:w="2551" w:type="dxa"/>
            <w:vAlign w:val="center"/>
          </w:tcPr>
          <w:p>
            <w:pPr>
              <w:pStyle w:val="11"/>
              <w:rPr>
                <w:highlight w:val="none"/>
              </w:rPr>
            </w:pPr>
            <w:r>
              <w:rPr>
                <w:highlight w:val="none"/>
              </w:rPr>
              <w:t>0.47</w:t>
            </w:r>
          </w:p>
        </w:tc>
        <w:tc>
          <w:tcPr>
            <w:tcW w:w="2551" w:type="dxa"/>
            <w:vAlign w:val="center"/>
          </w:tcPr>
          <w:p>
            <w:pPr>
              <w:pStyle w:val="11"/>
              <w:rPr>
                <w:highlight w:val="none"/>
              </w:rPr>
            </w:pPr>
          </w:p>
        </w:tc>
        <w:tc>
          <w:tcPr>
            <w:tcW w:w="2552" w:type="dxa"/>
            <w:vAlign w:val="center"/>
          </w:tcPr>
          <w:p>
            <w:pPr>
              <w:pStyle w:val="11"/>
              <w:rPr>
                <w:highlight w:val="none"/>
              </w:rPr>
            </w:pPr>
            <w:r>
              <w:rPr>
                <w:highlight w:val="none"/>
              </w:rP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3</w:t>
            </w:r>
          </w:p>
        </w:tc>
        <w:tc>
          <w:tcPr>
            <w:tcW w:w="1191" w:type="dxa"/>
            <w:vAlign w:val="center"/>
          </w:tcPr>
          <w:p>
            <w:pPr>
              <w:pStyle w:val="12"/>
              <w:rPr>
                <w:highlight w:val="none"/>
              </w:rPr>
            </w:pPr>
            <w:r>
              <w:rPr>
                <w:highlight w:val="none"/>
              </w:rPr>
              <w:t>30299</w:t>
            </w:r>
          </w:p>
        </w:tc>
        <w:tc>
          <w:tcPr>
            <w:tcW w:w="4535" w:type="dxa"/>
            <w:vAlign w:val="center"/>
          </w:tcPr>
          <w:p>
            <w:pPr>
              <w:pStyle w:val="12"/>
              <w:rPr>
                <w:highlight w:val="none"/>
              </w:rPr>
            </w:pPr>
            <w:r>
              <w:rPr>
                <w:highlight w:val="none"/>
              </w:rPr>
              <w:t>其他商品和服务支出</w:t>
            </w:r>
          </w:p>
        </w:tc>
        <w:tc>
          <w:tcPr>
            <w:tcW w:w="2551" w:type="dxa"/>
            <w:vAlign w:val="center"/>
          </w:tcPr>
          <w:p>
            <w:pPr>
              <w:pStyle w:val="11"/>
              <w:rPr>
                <w:highlight w:val="none"/>
              </w:rPr>
            </w:pPr>
            <w:r>
              <w:rPr>
                <w:highlight w:val="none"/>
              </w:rPr>
              <w:t>0.47</w:t>
            </w:r>
          </w:p>
        </w:tc>
        <w:tc>
          <w:tcPr>
            <w:tcW w:w="2551" w:type="dxa"/>
            <w:vAlign w:val="center"/>
          </w:tcPr>
          <w:p>
            <w:pPr>
              <w:pStyle w:val="11"/>
              <w:rPr>
                <w:highlight w:val="none"/>
              </w:rPr>
            </w:pPr>
          </w:p>
        </w:tc>
        <w:tc>
          <w:tcPr>
            <w:tcW w:w="2552" w:type="dxa"/>
            <w:vAlign w:val="center"/>
          </w:tcPr>
          <w:p>
            <w:pPr>
              <w:pStyle w:val="11"/>
              <w:rPr>
                <w:highlight w:val="none"/>
              </w:rPr>
            </w:pPr>
            <w:r>
              <w:rPr>
                <w:highlight w:val="none"/>
              </w:rP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4</w:t>
            </w:r>
          </w:p>
        </w:tc>
        <w:tc>
          <w:tcPr>
            <w:tcW w:w="1191" w:type="dxa"/>
            <w:vAlign w:val="center"/>
          </w:tcPr>
          <w:p>
            <w:pPr>
              <w:pStyle w:val="12"/>
              <w:rPr>
                <w:highlight w:val="none"/>
              </w:rPr>
            </w:pPr>
            <w:r>
              <w:rPr>
                <w:highlight w:val="none"/>
              </w:rPr>
              <w:t>303</w:t>
            </w:r>
          </w:p>
        </w:tc>
        <w:tc>
          <w:tcPr>
            <w:tcW w:w="4535" w:type="dxa"/>
            <w:vAlign w:val="center"/>
          </w:tcPr>
          <w:p>
            <w:pPr>
              <w:pStyle w:val="12"/>
              <w:rPr>
                <w:highlight w:val="none"/>
              </w:rPr>
            </w:pPr>
            <w:r>
              <w:rPr>
                <w:highlight w:val="none"/>
              </w:rPr>
              <w:t>对个人和家庭的补助</w:t>
            </w:r>
          </w:p>
        </w:tc>
        <w:tc>
          <w:tcPr>
            <w:tcW w:w="2551" w:type="dxa"/>
            <w:vAlign w:val="center"/>
          </w:tcPr>
          <w:p>
            <w:pPr>
              <w:pStyle w:val="11"/>
              <w:rPr>
                <w:highlight w:val="none"/>
              </w:rPr>
            </w:pPr>
            <w:r>
              <w:rPr>
                <w:highlight w:val="none"/>
              </w:rPr>
              <w:t>20.50</w:t>
            </w:r>
          </w:p>
        </w:tc>
        <w:tc>
          <w:tcPr>
            <w:tcW w:w="2551" w:type="dxa"/>
            <w:vAlign w:val="center"/>
          </w:tcPr>
          <w:p>
            <w:pPr>
              <w:pStyle w:val="11"/>
              <w:rPr>
                <w:highlight w:val="none"/>
              </w:rPr>
            </w:pPr>
            <w:r>
              <w:rPr>
                <w:highlight w:val="none"/>
              </w:rPr>
              <w:t>20.50</w:t>
            </w:r>
          </w:p>
        </w:tc>
        <w:tc>
          <w:tcPr>
            <w:tcW w:w="255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5</w:t>
            </w:r>
          </w:p>
        </w:tc>
        <w:tc>
          <w:tcPr>
            <w:tcW w:w="1191" w:type="dxa"/>
            <w:vAlign w:val="center"/>
          </w:tcPr>
          <w:p>
            <w:pPr>
              <w:pStyle w:val="12"/>
              <w:rPr>
                <w:highlight w:val="none"/>
              </w:rPr>
            </w:pPr>
            <w:r>
              <w:rPr>
                <w:highlight w:val="none"/>
              </w:rPr>
              <w:t>30302</w:t>
            </w:r>
          </w:p>
        </w:tc>
        <w:tc>
          <w:tcPr>
            <w:tcW w:w="4535" w:type="dxa"/>
            <w:vAlign w:val="center"/>
          </w:tcPr>
          <w:p>
            <w:pPr>
              <w:pStyle w:val="12"/>
              <w:rPr>
                <w:highlight w:val="none"/>
              </w:rPr>
            </w:pPr>
            <w:r>
              <w:rPr>
                <w:highlight w:val="none"/>
              </w:rPr>
              <w:t>退休费</w:t>
            </w:r>
          </w:p>
        </w:tc>
        <w:tc>
          <w:tcPr>
            <w:tcW w:w="2551" w:type="dxa"/>
            <w:vAlign w:val="center"/>
          </w:tcPr>
          <w:p>
            <w:pPr>
              <w:pStyle w:val="11"/>
              <w:rPr>
                <w:highlight w:val="none"/>
              </w:rPr>
            </w:pPr>
            <w:r>
              <w:rPr>
                <w:highlight w:val="none"/>
              </w:rPr>
              <w:t>19.69</w:t>
            </w:r>
          </w:p>
        </w:tc>
        <w:tc>
          <w:tcPr>
            <w:tcW w:w="2551" w:type="dxa"/>
            <w:vAlign w:val="center"/>
          </w:tcPr>
          <w:p>
            <w:pPr>
              <w:pStyle w:val="11"/>
              <w:rPr>
                <w:highlight w:val="none"/>
              </w:rPr>
            </w:pPr>
            <w:r>
              <w:rPr>
                <w:highlight w:val="none"/>
              </w:rPr>
              <w:t>19.69</w:t>
            </w:r>
          </w:p>
        </w:tc>
        <w:tc>
          <w:tcPr>
            <w:tcW w:w="2552" w:type="dxa"/>
            <w:vAlign w:val="center"/>
          </w:tcPr>
          <w:p>
            <w:pPr>
              <w:pStyle w:val="11"/>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r>
              <w:rPr>
                <w:highlight w:val="none"/>
              </w:rPr>
              <w:t>6</w:t>
            </w:r>
          </w:p>
        </w:tc>
        <w:tc>
          <w:tcPr>
            <w:tcW w:w="1191" w:type="dxa"/>
            <w:vAlign w:val="center"/>
          </w:tcPr>
          <w:p>
            <w:pPr>
              <w:pStyle w:val="12"/>
              <w:rPr>
                <w:highlight w:val="none"/>
              </w:rPr>
            </w:pPr>
            <w:r>
              <w:rPr>
                <w:highlight w:val="none"/>
              </w:rPr>
              <w:t>30305</w:t>
            </w:r>
          </w:p>
        </w:tc>
        <w:tc>
          <w:tcPr>
            <w:tcW w:w="4535" w:type="dxa"/>
            <w:vAlign w:val="center"/>
          </w:tcPr>
          <w:p>
            <w:pPr>
              <w:pStyle w:val="12"/>
              <w:rPr>
                <w:highlight w:val="none"/>
              </w:rPr>
            </w:pPr>
            <w:r>
              <w:rPr>
                <w:highlight w:val="none"/>
              </w:rPr>
              <w:t>生活补助</w:t>
            </w:r>
          </w:p>
        </w:tc>
        <w:tc>
          <w:tcPr>
            <w:tcW w:w="2551" w:type="dxa"/>
            <w:vAlign w:val="center"/>
          </w:tcPr>
          <w:p>
            <w:pPr>
              <w:pStyle w:val="11"/>
              <w:rPr>
                <w:highlight w:val="none"/>
              </w:rPr>
            </w:pPr>
            <w:r>
              <w:rPr>
                <w:highlight w:val="none"/>
              </w:rPr>
              <w:t>0.81</w:t>
            </w:r>
          </w:p>
        </w:tc>
        <w:tc>
          <w:tcPr>
            <w:tcW w:w="2551" w:type="dxa"/>
            <w:vAlign w:val="center"/>
          </w:tcPr>
          <w:p>
            <w:pPr>
              <w:pStyle w:val="11"/>
              <w:rPr>
                <w:highlight w:val="none"/>
              </w:rPr>
            </w:pPr>
            <w:r>
              <w:rPr>
                <w:highlight w:val="none"/>
              </w:rPr>
              <w:t>0.81</w:t>
            </w:r>
          </w:p>
        </w:tc>
        <w:tc>
          <w:tcPr>
            <w:tcW w:w="2552" w:type="dxa"/>
            <w:vAlign w:val="center"/>
          </w:tcPr>
          <w:p>
            <w:pPr>
              <w:pStyle w:val="11"/>
              <w:rPr>
                <w:highlight w:val="none"/>
              </w:rPr>
            </w:pPr>
          </w:p>
        </w:tc>
      </w:tr>
    </w:tbl>
    <w:p>
      <w:pPr>
        <w:rPr>
          <w:highlight w:val="none"/>
        </w:rPr>
        <w:sectPr>
          <w:pgSz w:w="16840" w:h="11900" w:orient="landscape"/>
          <w:pgMar w:top="1361" w:right="1020" w:bottom="1134" w:left="1020" w:header="720" w:footer="720" w:gutter="0"/>
          <w:cols w:space="720" w:num="1"/>
        </w:sectPr>
      </w:pPr>
    </w:p>
    <w:p>
      <w:pPr>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551" w:type="dxa"/>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5726" w:type="dxa"/>
            <w:gridSpan w:val="2"/>
            <w:vAlign w:val="center"/>
          </w:tcPr>
          <w:p>
            <w:pPr>
              <w:pStyle w:val="10"/>
              <w:rPr>
                <w:highlight w:val="none"/>
              </w:rPr>
            </w:pPr>
            <w:r>
              <w:rPr>
                <w:highlight w:val="none"/>
              </w:rPr>
              <w:t>功能分类科目</w:t>
            </w:r>
          </w:p>
        </w:tc>
        <w:tc>
          <w:tcPr>
            <w:tcW w:w="2551" w:type="dxa"/>
            <w:vMerge w:val="restart"/>
            <w:vAlign w:val="center"/>
          </w:tcPr>
          <w:p>
            <w:pPr>
              <w:pStyle w:val="10"/>
              <w:rPr>
                <w:highlight w:val="none"/>
              </w:rPr>
            </w:pPr>
            <w:r>
              <w:rPr>
                <w:highlight w:val="none"/>
              </w:rPr>
              <w:t>合计</w:t>
            </w:r>
          </w:p>
        </w:tc>
        <w:tc>
          <w:tcPr>
            <w:tcW w:w="2551" w:type="dxa"/>
            <w:vMerge w:val="restart"/>
            <w:vAlign w:val="center"/>
          </w:tcPr>
          <w:p>
            <w:pPr>
              <w:pStyle w:val="10"/>
              <w:rPr>
                <w:highlight w:val="none"/>
              </w:rPr>
            </w:pPr>
            <w:r>
              <w:rPr>
                <w:highlight w:val="none"/>
              </w:rPr>
              <w:t>基本支出</w:t>
            </w:r>
          </w:p>
        </w:tc>
        <w:tc>
          <w:tcPr>
            <w:tcW w:w="2551" w:type="dxa"/>
            <w:vMerge w:val="restart"/>
            <w:vAlign w:val="center"/>
          </w:tcPr>
          <w:p>
            <w:pPr>
              <w:pStyle w:val="10"/>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0"/>
              <w:rPr>
                <w:highlight w:val="none"/>
              </w:rPr>
            </w:pPr>
            <w:r>
              <w:rPr>
                <w:highlight w:val="none"/>
              </w:rPr>
              <w:t>科目编码</w:t>
            </w:r>
          </w:p>
        </w:tc>
        <w:tc>
          <w:tcPr>
            <w:tcW w:w="4535" w:type="dxa"/>
            <w:vAlign w:val="center"/>
          </w:tcPr>
          <w:p>
            <w:pPr>
              <w:pStyle w:val="10"/>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1191" w:type="dxa"/>
            <w:vAlign w:val="center"/>
          </w:tcPr>
          <w:p>
            <w:pPr>
              <w:pStyle w:val="10"/>
              <w:rPr>
                <w:highlight w:val="none"/>
              </w:rPr>
            </w:pPr>
            <w:r>
              <w:rPr>
                <w:highlight w:val="none"/>
              </w:rPr>
              <w:t>1</w:t>
            </w:r>
          </w:p>
        </w:tc>
        <w:tc>
          <w:tcPr>
            <w:tcW w:w="4535" w:type="dxa"/>
            <w:vAlign w:val="center"/>
          </w:tcPr>
          <w:p>
            <w:pPr>
              <w:pStyle w:val="10"/>
              <w:rPr>
                <w:highlight w:val="none"/>
              </w:rPr>
            </w:pPr>
            <w:r>
              <w:rPr>
                <w:highlight w:val="none"/>
              </w:rPr>
              <w:t>2</w:t>
            </w:r>
          </w:p>
        </w:tc>
        <w:tc>
          <w:tcPr>
            <w:tcW w:w="2551" w:type="dxa"/>
            <w:vAlign w:val="center"/>
          </w:tcPr>
          <w:p>
            <w:pPr>
              <w:pStyle w:val="10"/>
              <w:rPr>
                <w:highlight w:val="none"/>
              </w:rPr>
            </w:pPr>
            <w:r>
              <w:rPr>
                <w:highlight w:val="none"/>
              </w:rPr>
              <w:t>3</w:t>
            </w:r>
          </w:p>
        </w:tc>
        <w:tc>
          <w:tcPr>
            <w:tcW w:w="2551" w:type="dxa"/>
            <w:vAlign w:val="center"/>
          </w:tcPr>
          <w:p>
            <w:pPr>
              <w:pStyle w:val="10"/>
              <w:rPr>
                <w:highlight w:val="none"/>
              </w:rPr>
            </w:pPr>
            <w:r>
              <w:rPr>
                <w:highlight w:val="none"/>
              </w:rPr>
              <w:t>4</w:t>
            </w:r>
          </w:p>
        </w:tc>
        <w:tc>
          <w:tcPr>
            <w:tcW w:w="2551" w:type="dxa"/>
            <w:vAlign w:val="center"/>
          </w:tcPr>
          <w:p>
            <w:pPr>
              <w:pStyle w:val="10"/>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p>
        </w:tc>
        <w:tc>
          <w:tcPr>
            <w:tcW w:w="1191" w:type="dxa"/>
            <w:vAlign w:val="center"/>
          </w:tcPr>
          <w:p>
            <w:pPr>
              <w:pStyle w:val="12"/>
              <w:rPr>
                <w:highlight w:val="none"/>
              </w:rPr>
            </w:pPr>
          </w:p>
        </w:tc>
        <w:tc>
          <w:tcPr>
            <w:tcW w:w="4535" w:type="dxa"/>
            <w:vAlign w:val="center"/>
          </w:tcPr>
          <w:p>
            <w:pPr>
              <w:pStyle w:val="12"/>
              <w:rPr>
                <w:highlight w:val="none"/>
              </w:rPr>
            </w:pPr>
          </w:p>
        </w:tc>
        <w:tc>
          <w:tcPr>
            <w:tcW w:w="2551" w:type="dxa"/>
            <w:vAlign w:val="center"/>
          </w:tcPr>
          <w:p>
            <w:pPr>
              <w:pStyle w:val="11"/>
              <w:rPr>
                <w:highlight w:val="none"/>
              </w:rPr>
            </w:pPr>
          </w:p>
        </w:tc>
        <w:tc>
          <w:tcPr>
            <w:tcW w:w="2551" w:type="dxa"/>
            <w:vAlign w:val="center"/>
          </w:tcPr>
          <w:p>
            <w:pPr>
              <w:pStyle w:val="11"/>
              <w:rPr>
                <w:highlight w:val="none"/>
              </w:rPr>
            </w:pPr>
          </w:p>
        </w:tc>
        <w:tc>
          <w:tcPr>
            <w:tcW w:w="2551" w:type="dxa"/>
            <w:vAlign w:val="center"/>
          </w:tcPr>
          <w:p>
            <w:pPr>
              <w:pStyle w:val="11"/>
              <w:rPr>
                <w:highlight w:val="none"/>
              </w:rPr>
            </w:pPr>
          </w:p>
        </w:tc>
      </w:tr>
    </w:tbl>
    <w:p>
      <w:pPr>
        <w:ind w:firstLine="420"/>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551" w:type="dxa"/>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5726" w:type="dxa"/>
            <w:gridSpan w:val="2"/>
            <w:vAlign w:val="center"/>
          </w:tcPr>
          <w:p>
            <w:pPr>
              <w:pStyle w:val="10"/>
              <w:rPr>
                <w:highlight w:val="none"/>
              </w:rPr>
            </w:pPr>
            <w:r>
              <w:rPr>
                <w:highlight w:val="none"/>
              </w:rPr>
              <w:t>功能分类科目</w:t>
            </w:r>
          </w:p>
        </w:tc>
        <w:tc>
          <w:tcPr>
            <w:tcW w:w="2551" w:type="dxa"/>
            <w:vMerge w:val="restart"/>
            <w:vAlign w:val="center"/>
          </w:tcPr>
          <w:p>
            <w:pPr>
              <w:pStyle w:val="10"/>
              <w:rPr>
                <w:highlight w:val="none"/>
              </w:rPr>
            </w:pPr>
            <w:r>
              <w:rPr>
                <w:highlight w:val="none"/>
              </w:rPr>
              <w:t>合计</w:t>
            </w:r>
          </w:p>
        </w:tc>
        <w:tc>
          <w:tcPr>
            <w:tcW w:w="2551" w:type="dxa"/>
            <w:vMerge w:val="restart"/>
            <w:vAlign w:val="center"/>
          </w:tcPr>
          <w:p>
            <w:pPr>
              <w:pStyle w:val="10"/>
              <w:rPr>
                <w:highlight w:val="none"/>
              </w:rPr>
            </w:pPr>
            <w:r>
              <w:rPr>
                <w:highlight w:val="none"/>
              </w:rPr>
              <w:t>基本支出</w:t>
            </w:r>
          </w:p>
        </w:tc>
        <w:tc>
          <w:tcPr>
            <w:tcW w:w="2551" w:type="dxa"/>
            <w:vMerge w:val="restart"/>
            <w:vAlign w:val="center"/>
          </w:tcPr>
          <w:p>
            <w:pPr>
              <w:pStyle w:val="10"/>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0"/>
              <w:rPr>
                <w:highlight w:val="none"/>
              </w:rPr>
            </w:pPr>
            <w:r>
              <w:rPr>
                <w:highlight w:val="none"/>
              </w:rPr>
              <w:t>科目编码</w:t>
            </w:r>
          </w:p>
        </w:tc>
        <w:tc>
          <w:tcPr>
            <w:tcW w:w="4535" w:type="dxa"/>
            <w:vAlign w:val="center"/>
          </w:tcPr>
          <w:p>
            <w:pPr>
              <w:pStyle w:val="10"/>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highlight w:val="none"/>
              </w:rPr>
            </w:pPr>
            <w:r>
              <w:rPr>
                <w:highlight w:val="none"/>
              </w:rPr>
              <w:t>栏次</w:t>
            </w:r>
          </w:p>
        </w:tc>
        <w:tc>
          <w:tcPr>
            <w:tcW w:w="1191" w:type="dxa"/>
            <w:vAlign w:val="center"/>
          </w:tcPr>
          <w:p>
            <w:pPr>
              <w:pStyle w:val="10"/>
              <w:rPr>
                <w:highlight w:val="none"/>
              </w:rPr>
            </w:pPr>
            <w:r>
              <w:rPr>
                <w:highlight w:val="none"/>
              </w:rPr>
              <w:t>1</w:t>
            </w:r>
          </w:p>
        </w:tc>
        <w:tc>
          <w:tcPr>
            <w:tcW w:w="4535" w:type="dxa"/>
            <w:vAlign w:val="center"/>
          </w:tcPr>
          <w:p>
            <w:pPr>
              <w:pStyle w:val="10"/>
              <w:rPr>
                <w:highlight w:val="none"/>
              </w:rPr>
            </w:pPr>
            <w:r>
              <w:rPr>
                <w:highlight w:val="none"/>
              </w:rPr>
              <w:t>2</w:t>
            </w:r>
          </w:p>
        </w:tc>
        <w:tc>
          <w:tcPr>
            <w:tcW w:w="2551" w:type="dxa"/>
            <w:vAlign w:val="center"/>
          </w:tcPr>
          <w:p>
            <w:pPr>
              <w:pStyle w:val="10"/>
              <w:rPr>
                <w:highlight w:val="none"/>
              </w:rPr>
            </w:pPr>
            <w:r>
              <w:rPr>
                <w:highlight w:val="none"/>
              </w:rPr>
              <w:t>3</w:t>
            </w:r>
          </w:p>
        </w:tc>
        <w:tc>
          <w:tcPr>
            <w:tcW w:w="2551" w:type="dxa"/>
            <w:vAlign w:val="center"/>
          </w:tcPr>
          <w:p>
            <w:pPr>
              <w:pStyle w:val="10"/>
              <w:rPr>
                <w:highlight w:val="none"/>
              </w:rPr>
            </w:pPr>
            <w:r>
              <w:rPr>
                <w:highlight w:val="none"/>
              </w:rPr>
              <w:t>4</w:t>
            </w:r>
          </w:p>
        </w:tc>
        <w:tc>
          <w:tcPr>
            <w:tcW w:w="2551" w:type="dxa"/>
            <w:vAlign w:val="center"/>
          </w:tcPr>
          <w:p>
            <w:pPr>
              <w:pStyle w:val="10"/>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highlight w:val="none"/>
              </w:rPr>
            </w:pPr>
          </w:p>
        </w:tc>
        <w:tc>
          <w:tcPr>
            <w:tcW w:w="1191" w:type="dxa"/>
            <w:vAlign w:val="center"/>
          </w:tcPr>
          <w:p>
            <w:pPr>
              <w:pStyle w:val="12"/>
              <w:rPr>
                <w:highlight w:val="none"/>
              </w:rPr>
            </w:pPr>
          </w:p>
        </w:tc>
        <w:tc>
          <w:tcPr>
            <w:tcW w:w="4535" w:type="dxa"/>
            <w:vAlign w:val="center"/>
          </w:tcPr>
          <w:p>
            <w:pPr>
              <w:pStyle w:val="12"/>
              <w:rPr>
                <w:highlight w:val="none"/>
              </w:rPr>
            </w:pPr>
          </w:p>
        </w:tc>
        <w:tc>
          <w:tcPr>
            <w:tcW w:w="2551" w:type="dxa"/>
            <w:vAlign w:val="center"/>
          </w:tcPr>
          <w:p>
            <w:pPr>
              <w:pStyle w:val="11"/>
              <w:rPr>
                <w:highlight w:val="none"/>
              </w:rPr>
            </w:pPr>
          </w:p>
        </w:tc>
        <w:tc>
          <w:tcPr>
            <w:tcW w:w="2551" w:type="dxa"/>
            <w:vAlign w:val="center"/>
          </w:tcPr>
          <w:p>
            <w:pPr>
              <w:pStyle w:val="11"/>
              <w:rPr>
                <w:highlight w:val="none"/>
              </w:rPr>
            </w:pPr>
          </w:p>
        </w:tc>
        <w:tc>
          <w:tcPr>
            <w:tcW w:w="2551" w:type="dxa"/>
            <w:vAlign w:val="center"/>
          </w:tcPr>
          <w:p>
            <w:pPr>
              <w:pStyle w:val="11"/>
              <w:rPr>
                <w:highlight w:val="none"/>
              </w:rPr>
            </w:pPr>
          </w:p>
        </w:tc>
      </w:tr>
    </w:tbl>
    <w:p>
      <w:pPr>
        <w:ind w:firstLine="420"/>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2381" w:type="dxa"/>
            <w:tcBorders>
              <w:top w:val="single" w:color="FFFFFF" w:sz="6" w:space="0"/>
              <w:left w:val="single" w:color="FFFFFF" w:sz="6" w:space="0"/>
              <w:right w:val="single" w:color="FFFFFF" w:sz="6" w:space="0"/>
            </w:tcBorders>
            <w:vAlign w:val="center"/>
          </w:tcPr>
          <w:p>
            <w:pPr>
              <w:pStyle w:val="8"/>
              <w:rPr>
                <w:highlight w:val="none"/>
              </w:rPr>
            </w:pPr>
            <w:r>
              <w:rPr>
                <w:highlight w:val="none"/>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7"/>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highlight w:val="none"/>
              </w:rPr>
            </w:pPr>
            <w:r>
              <w:rPr>
                <w:highlight w:val="none"/>
              </w:rPr>
              <w:t>序号</w:t>
            </w:r>
          </w:p>
        </w:tc>
        <w:tc>
          <w:tcPr>
            <w:tcW w:w="3798" w:type="dxa"/>
            <w:vMerge w:val="restart"/>
            <w:vAlign w:val="center"/>
          </w:tcPr>
          <w:p>
            <w:pPr>
              <w:pStyle w:val="10"/>
              <w:rPr>
                <w:highlight w:val="none"/>
              </w:rPr>
            </w:pPr>
            <w:r>
              <w:rPr>
                <w:highlight w:val="none"/>
              </w:rPr>
              <w:t>项  目</w:t>
            </w:r>
          </w:p>
        </w:tc>
        <w:tc>
          <w:tcPr>
            <w:tcW w:w="9525" w:type="dxa"/>
            <w:gridSpan w:val="4"/>
            <w:vAlign w:val="center"/>
          </w:tcPr>
          <w:p>
            <w:pPr>
              <w:pStyle w:val="10"/>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highlight w:val="none"/>
              </w:rPr>
            </w:pPr>
          </w:p>
        </w:tc>
        <w:tc>
          <w:tcPr>
            <w:tcW w:w="3798" w:type="dxa"/>
            <w:vMerge w:val="continue"/>
          </w:tcPr>
          <w:p>
            <w:pPr>
              <w:rPr>
                <w:highlight w:val="none"/>
              </w:rPr>
            </w:pPr>
          </w:p>
        </w:tc>
        <w:tc>
          <w:tcPr>
            <w:tcW w:w="2382" w:type="dxa"/>
            <w:vAlign w:val="center"/>
          </w:tcPr>
          <w:p>
            <w:pPr>
              <w:pStyle w:val="10"/>
              <w:rPr>
                <w:highlight w:val="none"/>
              </w:rPr>
            </w:pPr>
            <w:r>
              <w:rPr>
                <w:highlight w:val="none"/>
              </w:rPr>
              <w:t>合计</w:t>
            </w:r>
          </w:p>
        </w:tc>
        <w:tc>
          <w:tcPr>
            <w:tcW w:w="2381" w:type="dxa"/>
            <w:vAlign w:val="center"/>
          </w:tcPr>
          <w:p>
            <w:pPr>
              <w:pStyle w:val="10"/>
              <w:rPr>
                <w:highlight w:val="none"/>
              </w:rPr>
            </w:pPr>
            <w:r>
              <w:rPr>
                <w:highlight w:val="none"/>
              </w:rPr>
              <w:t>一般公共预算              财政拨款</w:t>
            </w:r>
          </w:p>
        </w:tc>
        <w:tc>
          <w:tcPr>
            <w:tcW w:w="2381" w:type="dxa"/>
            <w:vAlign w:val="center"/>
          </w:tcPr>
          <w:p>
            <w:pPr>
              <w:pStyle w:val="10"/>
              <w:rPr>
                <w:highlight w:val="none"/>
              </w:rPr>
            </w:pPr>
            <w:r>
              <w:rPr>
                <w:highlight w:val="none"/>
              </w:rPr>
              <w:t>政府性基金                  预算拨款</w:t>
            </w:r>
          </w:p>
        </w:tc>
        <w:tc>
          <w:tcPr>
            <w:tcW w:w="2381" w:type="dxa"/>
            <w:vAlign w:val="center"/>
          </w:tcPr>
          <w:p>
            <w:pPr>
              <w:pStyle w:val="10"/>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rPr>
                <w:highlight w:val="none"/>
              </w:rPr>
            </w:pPr>
            <w:r>
              <w:rPr>
                <w:highlight w:val="none"/>
              </w:rPr>
              <w:t>栏次</w:t>
            </w:r>
          </w:p>
        </w:tc>
        <w:tc>
          <w:tcPr>
            <w:tcW w:w="3798" w:type="dxa"/>
            <w:vAlign w:val="center"/>
          </w:tcPr>
          <w:p>
            <w:pPr>
              <w:pStyle w:val="10"/>
              <w:rPr>
                <w:highlight w:val="none"/>
              </w:rPr>
            </w:pPr>
            <w:r>
              <w:rPr>
                <w:highlight w:val="none"/>
              </w:rPr>
              <w:t>1</w:t>
            </w:r>
          </w:p>
        </w:tc>
        <w:tc>
          <w:tcPr>
            <w:tcW w:w="2382" w:type="dxa"/>
            <w:vAlign w:val="center"/>
          </w:tcPr>
          <w:p>
            <w:pPr>
              <w:pStyle w:val="10"/>
              <w:rPr>
                <w:highlight w:val="none"/>
              </w:rPr>
            </w:pPr>
            <w:r>
              <w:rPr>
                <w:highlight w:val="none"/>
              </w:rPr>
              <w:t>2</w:t>
            </w:r>
          </w:p>
        </w:tc>
        <w:tc>
          <w:tcPr>
            <w:tcW w:w="2381" w:type="dxa"/>
            <w:vAlign w:val="center"/>
          </w:tcPr>
          <w:p>
            <w:pPr>
              <w:pStyle w:val="10"/>
              <w:rPr>
                <w:highlight w:val="none"/>
              </w:rPr>
            </w:pPr>
            <w:r>
              <w:rPr>
                <w:highlight w:val="none"/>
              </w:rPr>
              <w:t>3</w:t>
            </w:r>
          </w:p>
        </w:tc>
        <w:tc>
          <w:tcPr>
            <w:tcW w:w="2381" w:type="dxa"/>
            <w:vAlign w:val="center"/>
          </w:tcPr>
          <w:p>
            <w:pPr>
              <w:pStyle w:val="10"/>
              <w:rPr>
                <w:highlight w:val="none"/>
              </w:rPr>
            </w:pPr>
            <w:r>
              <w:rPr>
                <w:highlight w:val="none"/>
              </w:rPr>
              <w:t>4</w:t>
            </w:r>
          </w:p>
        </w:tc>
        <w:tc>
          <w:tcPr>
            <w:tcW w:w="2381" w:type="dxa"/>
            <w:vAlign w:val="center"/>
          </w:tcPr>
          <w:p>
            <w:pPr>
              <w:pStyle w:val="10"/>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highlight w:val="none"/>
              </w:rPr>
            </w:pPr>
          </w:p>
        </w:tc>
        <w:tc>
          <w:tcPr>
            <w:tcW w:w="3798" w:type="dxa"/>
            <w:vAlign w:val="center"/>
          </w:tcPr>
          <w:p>
            <w:pPr>
              <w:pStyle w:val="12"/>
              <w:rPr>
                <w:highlight w:val="none"/>
              </w:rPr>
            </w:pPr>
          </w:p>
        </w:tc>
        <w:tc>
          <w:tcPr>
            <w:tcW w:w="2382" w:type="dxa"/>
            <w:vAlign w:val="center"/>
          </w:tcPr>
          <w:p>
            <w:pPr>
              <w:pStyle w:val="11"/>
              <w:rPr>
                <w:highlight w:val="none"/>
              </w:rPr>
            </w:pPr>
          </w:p>
        </w:tc>
        <w:tc>
          <w:tcPr>
            <w:tcW w:w="2381" w:type="dxa"/>
            <w:vAlign w:val="center"/>
          </w:tcPr>
          <w:p>
            <w:pPr>
              <w:pStyle w:val="11"/>
              <w:rPr>
                <w:highlight w:val="none"/>
              </w:rPr>
            </w:pPr>
          </w:p>
        </w:tc>
        <w:tc>
          <w:tcPr>
            <w:tcW w:w="2381" w:type="dxa"/>
            <w:vAlign w:val="center"/>
          </w:tcPr>
          <w:p>
            <w:pPr>
              <w:pStyle w:val="11"/>
              <w:rPr>
                <w:highlight w:val="none"/>
              </w:rPr>
            </w:pPr>
          </w:p>
        </w:tc>
        <w:tc>
          <w:tcPr>
            <w:tcW w:w="2381" w:type="dxa"/>
            <w:vAlign w:val="center"/>
          </w:tcPr>
          <w:p>
            <w:pPr>
              <w:pStyle w:val="11"/>
              <w:rPr>
                <w:highlight w:val="none"/>
              </w:rPr>
            </w:pPr>
          </w:p>
        </w:tc>
      </w:tr>
    </w:tbl>
    <w:p>
      <w:pPr>
        <w:ind w:firstLine="420"/>
        <w:rPr>
          <w:highlight w:val="none"/>
        </w:rPr>
      </w:pPr>
      <w:r>
        <w:rPr>
          <w:rFonts w:ascii="方正书宋_GBK" w:hAnsi="方正书宋_GBK" w:eastAsia="方正书宋_GBK" w:cs="方正书宋_GBK"/>
          <w:color w:val="000000"/>
          <w:sz w:val="21"/>
          <w:highlight w:val="none"/>
        </w:rPr>
        <w:t>注：无财政拨款“三公”经费支出表预算，空表列示。</w:t>
      </w:r>
    </w:p>
    <w:p>
      <w:pPr>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栾城区物资局2022年部门预算信息公开情况说明</w:t>
      </w:r>
    </w:p>
    <w:p>
      <w:pPr>
        <w:jc w:val="center"/>
        <w:rPr>
          <w:highlight w:val="none"/>
        </w:rPr>
      </w:pPr>
      <w:r>
        <w:rPr>
          <w:rFonts w:ascii="方正小标宋_GBK" w:hAnsi="方正小标宋_GBK" w:eastAsia="方正小标宋_GBK" w:cs="方正小标宋_GBK"/>
          <w:color w:val="000000"/>
          <w:sz w:val="44"/>
          <w:highlight w:val="none"/>
        </w:rPr>
        <w:t>栾城区物资局2022年部门预算信息公开情况说明</w:t>
      </w:r>
    </w:p>
    <w:p>
      <w:pPr>
        <w:spacing w:line="500" w:lineRule="exact"/>
        <w:ind w:firstLine="560"/>
        <w:rPr>
          <w:highlight w:val="none"/>
        </w:rPr>
      </w:pPr>
      <w:r>
        <w:rPr>
          <w:rFonts w:eastAsia="方正仿宋_GBK"/>
          <w:color w:val="000000"/>
          <w:sz w:val="28"/>
          <w:highlight w:val="none"/>
        </w:rPr>
        <w:t>按照《</w:t>
      </w:r>
      <w:r>
        <w:rPr>
          <w:rFonts w:hint="eastAsia" w:eastAsia="方正仿宋_GBK"/>
          <w:color w:val="000000"/>
          <w:sz w:val="28"/>
          <w:highlight w:val="none"/>
          <w:lang w:eastAsia="zh-CN"/>
        </w:rPr>
        <w:t>中华人民共和国预算法</w:t>
      </w:r>
      <w:r>
        <w:rPr>
          <w:rFonts w:eastAsia="方正仿宋_GBK"/>
          <w:color w:val="000000"/>
          <w:sz w:val="28"/>
          <w:highlight w:val="none"/>
        </w:rPr>
        <w:t>》、《地方预决算公开操作规程》和《关于进一步推进预算公开工作的实施意见》规定，现将栾城区物资局2022年部门预算公开如下：</w:t>
      </w:r>
    </w:p>
    <w:p>
      <w:pPr>
        <w:spacing w:before="10" w:after="10" w:line="360" w:lineRule="auto"/>
        <w:ind w:firstLine="640"/>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pPr>
        <w:ind w:firstLine="640"/>
        <w:rPr>
          <w:highlight w:val="none"/>
        </w:rPr>
      </w:pPr>
      <w:r>
        <w:rPr>
          <w:rFonts w:ascii="方正楷体_GBK" w:hAnsi="方正楷体_GBK" w:eastAsia="方正楷体_GBK" w:cs="方正楷体_GBK"/>
          <w:b/>
          <w:color w:val="000000"/>
          <w:sz w:val="32"/>
          <w:highlight w:val="none"/>
        </w:rPr>
        <w:t>部门职责：</w:t>
      </w:r>
    </w:p>
    <w:p>
      <w:pPr>
        <w:pStyle w:val="17"/>
        <w:rPr>
          <w:highlight w:val="none"/>
        </w:rPr>
      </w:pPr>
      <w:r>
        <w:rPr>
          <w:highlight w:val="none"/>
        </w:rPr>
        <w:t>加强机关建设，发挥党组织的战斗堡垒作用和党员先锋模范作用，做好下岗职工的思想工作，从维护改革发展稳定大局出发，逐步解决遗留问题，确保社会和谐与队伍稳定，完成区委、区政府部署的其他各项工作。</w:t>
      </w:r>
    </w:p>
    <w:p>
      <w:pPr>
        <w:ind w:firstLine="640"/>
        <w:rPr>
          <w:highlight w:val="none"/>
        </w:rPr>
      </w:pPr>
      <w:r>
        <w:rPr>
          <w:rFonts w:ascii="方正楷体_GBK" w:hAnsi="方正楷体_GBK" w:eastAsia="方正楷体_GBK" w:cs="方正楷体_GBK"/>
          <w:b/>
          <w:color w:val="000000"/>
          <w:sz w:val="32"/>
          <w:highlight w:val="none"/>
        </w:rPr>
        <w:t>机构设置：</w:t>
      </w:r>
    </w:p>
    <w:p>
      <w:pPr>
        <w:jc w:val="center"/>
        <w:rPr>
          <w:highlight w:val="none"/>
        </w:rPr>
      </w:pPr>
      <w:r>
        <w:rPr>
          <w:rFonts w:ascii="方正小标宋_GBK" w:hAnsi="方正小标宋_GBK" w:eastAsia="方正小标宋_GBK" w:cs="方正小标宋_GBK"/>
          <w:color w:val="000000"/>
          <w:sz w:val="32"/>
          <w:highlight w:val="none"/>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highlight w:val="none"/>
              </w:rPr>
            </w:pPr>
            <w:r>
              <w:rPr>
                <w:highlight w:val="none"/>
              </w:rPr>
              <w:t>单位名称</w:t>
            </w:r>
          </w:p>
        </w:tc>
        <w:tc>
          <w:tcPr>
            <w:tcW w:w="1843" w:type="dxa"/>
            <w:vAlign w:val="center"/>
          </w:tcPr>
          <w:p>
            <w:pPr>
              <w:pStyle w:val="10"/>
              <w:rPr>
                <w:highlight w:val="none"/>
              </w:rPr>
            </w:pPr>
            <w:r>
              <w:rPr>
                <w:highlight w:val="none"/>
              </w:rPr>
              <w:t>单位性质</w:t>
            </w:r>
          </w:p>
        </w:tc>
        <w:tc>
          <w:tcPr>
            <w:tcW w:w="2126" w:type="dxa"/>
            <w:vAlign w:val="center"/>
          </w:tcPr>
          <w:p>
            <w:pPr>
              <w:pStyle w:val="10"/>
              <w:rPr>
                <w:highlight w:val="none"/>
              </w:rPr>
            </w:pPr>
            <w:r>
              <w:rPr>
                <w:highlight w:val="none"/>
              </w:rPr>
              <w:t>单位规格</w:t>
            </w:r>
          </w:p>
        </w:tc>
        <w:tc>
          <w:tcPr>
            <w:tcW w:w="3827" w:type="dxa"/>
            <w:vAlign w:val="center"/>
          </w:tcPr>
          <w:p>
            <w:pPr>
              <w:pStyle w:val="10"/>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rPr>
                <w:rFonts w:hint="eastAsia" w:eastAsiaTheme="minorEastAsia"/>
                <w:highlight w:val="none"/>
                <w:lang w:eastAsia="zh-CN"/>
              </w:rPr>
            </w:pPr>
            <w:r>
              <w:rPr>
                <w:highlight w:val="none"/>
              </w:rPr>
              <w:t>栾城区物资局本级</w:t>
            </w:r>
          </w:p>
        </w:tc>
        <w:tc>
          <w:tcPr>
            <w:tcW w:w="1843" w:type="dxa"/>
            <w:vAlign w:val="center"/>
          </w:tcPr>
          <w:p>
            <w:pPr>
              <w:pStyle w:val="13"/>
              <w:rPr>
                <w:highlight w:val="none"/>
                <w:lang w:eastAsia="zh-CN"/>
              </w:rPr>
            </w:pPr>
            <w:r>
              <w:rPr>
                <w:rFonts w:hint="eastAsia"/>
                <w:highlight w:val="none"/>
                <w:lang w:eastAsia="zh-CN"/>
              </w:rPr>
              <w:t>行政</w:t>
            </w:r>
          </w:p>
        </w:tc>
        <w:tc>
          <w:tcPr>
            <w:tcW w:w="2126" w:type="dxa"/>
            <w:vAlign w:val="center"/>
          </w:tcPr>
          <w:p>
            <w:pPr>
              <w:pStyle w:val="13"/>
              <w:rPr>
                <w:highlight w:val="none"/>
              </w:rPr>
            </w:pPr>
            <w:r>
              <w:rPr>
                <w:highlight w:val="none"/>
              </w:rPr>
              <w:t>正科级</w:t>
            </w:r>
          </w:p>
        </w:tc>
        <w:tc>
          <w:tcPr>
            <w:tcW w:w="3827" w:type="dxa"/>
            <w:vAlign w:val="center"/>
          </w:tcPr>
          <w:p>
            <w:pPr>
              <w:pStyle w:val="13"/>
              <w:rPr>
                <w:highlight w:val="none"/>
              </w:rPr>
            </w:pPr>
            <w:r>
              <w:rPr>
                <w:highlight w:val="none"/>
              </w:rPr>
              <w:t>财政拨款</w:t>
            </w:r>
          </w:p>
        </w:tc>
      </w:tr>
    </w:tbl>
    <w:p>
      <w:pPr>
        <w:spacing w:before="10" w:after="10" w:line="360" w:lineRule="auto"/>
        <w:ind w:firstLine="640"/>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spacing w:line="500" w:lineRule="exact"/>
        <w:ind w:firstLine="560"/>
        <w:rPr>
          <w:highlight w:val="none"/>
        </w:rPr>
      </w:pPr>
      <w:r>
        <w:rPr>
          <w:rFonts w:eastAsia="方正仿宋_GBK"/>
          <w:color w:val="000000"/>
          <w:sz w:val="28"/>
          <w:highlight w:val="none"/>
        </w:rPr>
        <w:t>按照预算管理有关规定，目前我部门预算的编制实行综合预算管理，即全部收入和支出都反映在预算中。栾城区物资局部门及所属事业单位的收支包含在部门预算中。</w:t>
      </w:r>
    </w:p>
    <w:p>
      <w:pPr>
        <w:spacing w:line="520" w:lineRule="atLeast"/>
        <w:ind w:firstLine="560" w:firstLineChars="200"/>
        <w:rPr>
          <w:rFonts w:ascii="宋体" w:hAnsi="宋体"/>
          <w:sz w:val="28"/>
          <w:szCs w:val="28"/>
          <w:highlight w:val="none"/>
        </w:rPr>
      </w:pPr>
      <w:r>
        <w:rPr>
          <w:rFonts w:ascii="宋体" w:hAnsi="宋体"/>
          <w:sz w:val="28"/>
          <w:szCs w:val="28"/>
          <w:highlight w:val="none"/>
        </w:rPr>
        <w:t>1</w:t>
      </w:r>
      <w:r>
        <w:rPr>
          <w:rFonts w:hint="eastAsia" w:ascii="宋体" w:hAnsi="宋体"/>
          <w:sz w:val="28"/>
          <w:szCs w:val="28"/>
          <w:highlight w:val="none"/>
        </w:rPr>
        <w:t>、收入说明</w:t>
      </w:r>
      <w:r>
        <w:rPr>
          <w:rFonts w:ascii="宋体" w:hAnsi="宋体"/>
          <w:sz w:val="28"/>
          <w:szCs w:val="28"/>
          <w:highlight w:val="none"/>
        </w:rPr>
        <w:t xml:space="preserve"> </w:t>
      </w:r>
    </w:p>
    <w:p>
      <w:pPr>
        <w:spacing w:line="520" w:lineRule="atLeast"/>
        <w:ind w:firstLine="640"/>
        <w:rPr>
          <w:rFonts w:ascii="宋体" w:hAnsi="宋体"/>
          <w:sz w:val="28"/>
          <w:szCs w:val="28"/>
          <w:highlight w:val="none"/>
        </w:rPr>
      </w:pPr>
      <w:r>
        <w:rPr>
          <w:rFonts w:hint="eastAsia" w:ascii="宋体" w:hAnsi="宋体"/>
          <w:sz w:val="28"/>
          <w:szCs w:val="28"/>
          <w:highlight w:val="none"/>
        </w:rPr>
        <w:t>栾城区物资局202</w:t>
      </w:r>
      <w:r>
        <w:rPr>
          <w:rFonts w:hint="eastAsia" w:ascii="宋体" w:hAnsi="宋体" w:eastAsiaTheme="minorEastAsia"/>
          <w:sz w:val="28"/>
          <w:szCs w:val="28"/>
          <w:highlight w:val="none"/>
          <w:lang w:eastAsia="zh-CN"/>
        </w:rPr>
        <w:t>2</w:t>
      </w:r>
      <w:r>
        <w:rPr>
          <w:rFonts w:hint="eastAsia" w:ascii="宋体" w:hAnsi="宋体"/>
          <w:sz w:val="28"/>
          <w:szCs w:val="28"/>
          <w:highlight w:val="none"/>
        </w:rPr>
        <w:t>年预算收入总计</w:t>
      </w:r>
      <w:r>
        <w:rPr>
          <w:rFonts w:hint="eastAsia" w:ascii="宋体" w:hAnsi="宋体" w:eastAsiaTheme="minorEastAsia"/>
          <w:sz w:val="28"/>
          <w:szCs w:val="28"/>
          <w:highlight w:val="none"/>
          <w:lang w:eastAsia="zh-CN"/>
        </w:rPr>
        <w:t>87.89</w:t>
      </w:r>
      <w:r>
        <w:rPr>
          <w:rFonts w:hint="eastAsia" w:ascii="宋体" w:hAnsi="宋体"/>
          <w:sz w:val="28"/>
          <w:szCs w:val="28"/>
          <w:highlight w:val="none"/>
        </w:rPr>
        <w:t>万元。其中，一般公共预算收入</w:t>
      </w:r>
      <w:r>
        <w:rPr>
          <w:rFonts w:hint="eastAsia" w:ascii="宋体" w:hAnsi="宋体" w:eastAsiaTheme="minorEastAsia"/>
          <w:sz w:val="28"/>
          <w:szCs w:val="28"/>
          <w:highlight w:val="none"/>
          <w:lang w:eastAsia="zh-CN"/>
        </w:rPr>
        <w:t>87.89</w:t>
      </w:r>
      <w:r>
        <w:rPr>
          <w:rFonts w:hint="eastAsia" w:ascii="宋体" w:hAnsi="宋体"/>
          <w:sz w:val="28"/>
          <w:szCs w:val="28"/>
          <w:highlight w:val="none"/>
        </w:rPr>
        <w:t>万元,基金预算收入</w:t>
      </w:r>
      <w:r>
        <w:rPr>
          <w:rFonts w:hint="eastAsia" w:ascii="宋体" w:hAnsi="宋体" w:eastAsiaTheme="minorEastAsia"/>
          <w:sz w:val="28"/>
          <w:szCs w:val="28"/>
          <w:highlight w:val="none"/>
          <w:lang w:eastAsia="zh-CN"/>
        </w:rPr>
        <w:t>0</w:t>
      </w:r>
      <w:r>
        <w:rPr>
          <w:rFonts w:hint="eastAsia" w:ascii="宋体" w:hAnsi="宋体"/>
          <w:sz w:val="28"/>
          <w:szCs w:val="28"/>
          <w:highlight w:val="none"/>
        </w:rPr>
        <w:t>万元，财政专户核拨收入0万元，其他来源收入0万元。</w:t>
      </w:r>
    </w:p>
    <w:p>
      <w:pPr>
        <w:spacing w:line="520" w:lineRule="atLeast"/>
        <w:ind w:firstLine="560" w:firstLineChars="200"/>
        <w:rPr>
          <w:rFonts w:ascii="宋体" w:hAnsi="宋体"/>
          <w:sz w:val="28"/>
          <w:szCs w:val="28"/>
          <w:highlight w:val="none"/>
        </w:rPr>
      </w:pPr>
      <w:r>
        <w:rPr>
          <w:rFonts w:hint="eastAsia" w:ascii="宋体" w:hAnsi="宋体"/>
          <w:sz w:val="28"/>
          <w:szCs w:val="28"/>
          <w:highlight w:val="none"/>
        </w:rPr>
        <w:t>2、支出说明</w:t>
      </w:r>
    </w:p>
    <w:p>
      <w:pPr>
        <w:spacing w:line="520" w:lineRule="atLeast"/>
        <w:ind w:firstLine="560" w:firstLineChars="200"/>
        <w:rPr>
          <w:rFonts w:ascii="宋体" w:hAnsi="宋体" w:cs="宋体"/>
          <w:sz w:val="28"/>
          <w:szCs w:val="28"/>
          <w:highlight w:val="none"/>
        </w:rPr>
      </w:pPr>
      <w:r>
        <w:rPr>
          <w:rFonts w:hint="eastAsia" w:ascii="宋体" w:hAnsi="宋体"/>
          <w:sz w:val="28"/>
          <w:szCs w:val="28"/>
          <w:highlight w:val="none"/>
        </w:rPr>
        <w:t>收支预算总表支出栏、基本支出表、项目支出表按经济分类和支出功能分类科目编制，反映栾城区物资局年度部门预算中支出预算的总体情况。202</w:t>
      </w:r>
      <w:r>
        <w:rPr>
          <w:rFonts w:hint="eastAsia" w:ascii="宋体" w:hAnsi="宋体" w:eastAsiaTheme="minorEastAsia"/>
          <w:sz w:val="28"/>
          <w:szCs w:val="28"/>
          <w:highlight w:val="none"/>
          <w:lang w:eastAsia="zh-CN"/>
        </w:rPr>
        <w:t>2</w:t>
      </w:r>
      <w:r>
        <w:rPr>
          <w:rFonts w:hint="eastAsia" w:ascii="宋体" w:hAnsi="宋体"/>
          <w:sz w:val="28"/>
          <w:szCs w:val="28"/>
          <w:highlight w:val="none"/>
        </w:rPr>
        <w:t>年部门支出预算为</w:t>
      </w:r>
      <w:r>
        <w:rPr>
          <w:rFonts w:hint="eastAsia" w:ascii="宋体" w:hAnsi="宋体" w:eastAsiaTheme="minorEastAsia"/>
          <w:sz w:val="28"/>
          <w:szCs w:val="28"/>
          <w:highlight w:val="none"/>
          <w:lang w:eastAsia="zh-CN"/>
        </w:rPr>
        <w:t>87.89</w:t>
      </w:r>
      <w:r>
        <w:rPr>
          <w:rFonts w:hint="eastAsia" w:ascii="宋体" w:hAnsi="宋体"/>
          <w:sz w:val="28"/>
          <w:szCs w:val="28"/>
          <w:highlight w:val="none"/>
        </w:rPr>
        <w:t>万元，其中</w:t>
      </w:r>
      <w:r>
        <w:rPr>
          <w:rFonts w:hint="eastAsia" w:asciiTheme="minorEastAsia" w:hAnsiTheme="minorEastAsia" w:eastAsiaTheme="minorEastAsia"/>
          <w:sz w:val="28"/>
          <w:szCs w:val="28"/>
          <w:highlight w:val="none"/>
          <w:lang w:eastAsia="zh-CN"/>
        </w:rPr>
        <w:t>：</w:t>
      </w:r>
      <w:r>
        <w:rPr>
          <w:rFonts w:hint="eastAsia" w:ascii="宋体" w:hAnsi="宋体"/>
          <w:sz w:val="28"/>
          <w:szCs w:val="28"/>
          <w:highlight w:val="none"/>
        </w:rPr>
        <w:t>基本支出</w:t>
      </w:r>
      <w:r>
        <w:rPr>
          <w:rFonts w:hint="eastAsia" w:ascii="宋体" w:hAnsi="宋体" w:eastAsiaTheme="minorEastAsia"/>
          <w:sz w:val="28"/>
          <w:szCs w:val="28"/>
          <w:highlight w:val="none"/>
          <w:lang w:eastAsia="zh-CN"/>
        </w:rPr>
        <w:t>20.97万元，</w:t>
      </w:r>
      <w:r>
        <w:rPr>
          <w:rFonts w:hint="eastAsia" w:ascii="宋体" w:hAnsi="宋体"/>
          <w:sz w:val="28"/>
          <w:szCs w:val="28"/>
          <w:highlight w:val="none"/>
        </w:rPr>
        <w:t>项目支出</w:t>
      </w:r>
      <w:r>
        <w:rPr>
          <w:rFonts w:ascii="仿宋" w:hAnsi="仿宋" w:eastAsia="仿宋"/>
          <w:sz w:val="32"/>
          <w:szCs w:val="32"/>
          <w:highlight w:val="none"/>
        </w:rPr>
        <w:t>66.92</w:t>
      </w:r>
      <w:r>
        <w:rPr>
          <w:rFonts w:hint="eastAsia" w:ascii="宋体" w:hAnsi="宋体"/>
          <w:sz w:val="28"/>
          <w:szCs w:val="28"/>
          <w:highlight w:val="none"/>
        </w:rPr>
        <w:t>万元</w:t>
      </w:r>
      <w:r>
        <w:rPr>
          <w:rFonts w:hint="eastAsia" w:asciiTheme="minorEastAsia" w:hAnsiTheme="minorEastAsia" w:eastAsiaTheme="minorEastAsia"/>
          <w:sz w:val="28"/>
          <w:szCs w:val="28"/>
          <w:highlight w:val="none"/>
          <w:lang w:eastAsia="zh-CN"/>
        </w:rPr>
        <w:t>。项目支出</w:t>
      </w:r>
      <w:r>
        <w:rPr>
          <w:rFonts w:hint="eastAsia" w:ascii="宋体" w:hAnsi="宋体"/>
          <w:sz w:val="28"/>
          <w:szCs w:val="28"/>
          <w:highlight w:val="none"/>
        </w:rPr>
        <w:t>是其他商业流通事务支出</w:t>
      </w:r>
      <w:r>
        <w:rPr>
          <w:rFonts w:hint="eastAsia" w:ascii="宋体" w:hAnsi="宋体" w:eastAsiaTheme="minorEastAsia"/>
          <w:sz w:val="28"/>
          <w:szCs w:val="28"/>
          <w:highlight w:val="none"/>
          <w:lang w:eastAsia="zh-CN"/>
        </w:rPr>
        <w:t>66.92</w:t>
      </w:r>
      <w:r>
        <w:rPr>
          <w:rFonts w:hint="eastAsia" w:ascii="宋体" w:hAnsi="宋体"/>
          <w:sz w:val="28"/>
          <w:szCs w:val="28"/>
          <w:highlight w:val="none"/>
        </w:rPr>
        <w:t>万元。</w:t>
      </w:r>
    </w:p>
    <w:p>
      <w:pPr>
        <w:spacing w:line="520" w:lineRule="atLeast"/>
        <w:ind w:firstLine="640"/>
        <w:rPr>
          <w:rFonts w:ascii="宋体" w:hAnsi="宋体"/>
          <w:sz w:val="28"/>
          <w:szCs w:val="28"/>
          <w:highlight w:val="none"/>
        </w:rPr>
      </w:pPr>
      <w:r>
        <w:rPr>
          <w:rFonts w:hint="eastAsia" w:ascii="宋体" w:hAnsi="宋体"/>
          <w:sz w:val="28"/>
          <w:szCs w:val="28"/>
          <w:highlight w:val="none"/>
        </w:rPr>
        <w:t>3、</w:t>
      </w:r>
      <w:r>
        <w:rPr>
          <w:rFonts w:ascii="宋体" w:hAnsi="宋体"/>
          <w:sz w:val="28"/>
          <w:szCs w:val="28"/>
          <w:highlight w:val="none"/>
        </w:rPr>
        <w:t>比上年增减情况</w:t>
      </w:r>
    </w:p>
    <w:p>
      <w:pPr>
        <w:spacing w:line="520" w:lineRule="atLeast"/>
        <w:ind w:firstLine="640"/>
        <w:rPr>
          <w:rFonts w:ascii="宋体" w:hAnsi="宋体"/>
          <w:sz w:val="28"/>
          <w:szCs w:val="28"/>
          <w:highlight w:val="none"/>
        </w:rPr>
      </w:pPr>
      <w:r>
        <w:rPr>
          <w:rFonts w:hint="eastAsia" w:ascii="宋体" w:hAnsi="宋体"/>
          <w:color w:val="000000"/>
          <w:sz w:val="28"/>
          <w:szCs w:val="28"/>
          <w:highlight w:val="none"/>
        </w:rPr>
        <w:t>202</w:t>
      </w:r>
      <w:r>
        <w:rPr>
          <w:rFonts w:hint="eastAsia" w:ascii="宋体" w:hAnsi="宋体" w:eastAsiaTheme="minorEastAsia"/>
          <w:color w:val="000000"/>
          <w:sz w:val="28"/>
          <w:szCs w:val="28"/>
          <w:highlight w:val="none"/>
          <w:lang w:eastAsia="zh-CN"/>
        </w:rPr>
        <w:t>2</w:t>
      </w:r>
      <w:r>
        <w:rPr>
          <w:rFonts w:hint="eastAsia" w:ascii="宋体" w:hAnsi="宋体"/>
          <w:color w:val="000000"/>
          <w:sz w:val="28"/>
          <w:szCs w:val="28"/>
          <w:highlight w:val="none"/>
        </w:rPr>
        <w:t>年部门预算收支安排</w:t>
      </w:r>
      <w:r>
        <w:rPr>
          <w:rFonts w:hint="eastAsia" w:ascii="宋体" w:hAnsi="宋体" w:eastAsiaTheme="minorEastAsia"/>
          <w:color w:val="000000"/>
          <w:sz w:val="28"/>
          <w:szCs w:val="28"/>
          <w:highlight w:val="none"/>
          <w:lang w:eastAsia="zh-CN"/>
        </w:rPr>
        <w:t>87.89</w:t>
      </w:r>
      <w:r>
        <w:rPr>
          <w:rFonts w:hint="eastAsia" w:ascii="宋体" w:hAnsi="宋体"/>
          <w:color w:val="000000"/>
          <w:sz w:val="28"/>
          <w:szCs w:val="28"/>
          <w:highlight w:val="none"/>
        </w:rPr>
        <w:t>万元，</w:t>
      </w:r>
      <w:r>
        <w:rPr>
          <w:rFonts w:hint="eastAsia" w:ascii="宋体" w:hAnsi="宋体"/>
          <w:sz w:val="28"/>
          <w:szCs w:val="28"/>
          <w:highlight w:val="none"/>
        </w:rPr>
        <w:t>较202</w:t>
      </w:r>
      <w:r>
        <w:rPr>
          <w:rFonts w:hint="eastAsia" w:ascii="宋体" w:hAnsi="宋体" w:eastAsiaTheme="minorEastAsia"/>
          <w:sz w:val="28"/>
          <w:szCs w:val="28"/>
          <w:highlight w:val="none"/>
          <w:lang w:eastAsia="zh-CN"/>
        </w:rPr>
        <w:t>1</w:t>
      </w:r>
      <w:r>
        <w:rPr>
          <w:rFonts w:hint="eastAsia" w:ascii="宋体" w:hAnsi="宋体"/>
          <w:sz w:val="28"/>
          <w:szCs w:val="28"/>
          <w:highlight w:val="none"/>
        </w:rPr>
        <w:t>年</w:t>
      </w:r>
      <w:r>
        <w:rPr>
          <w:rFonts w:hint="eastAsia" w:asciiTheme="minorEastAsia" w:hAnsiTheme="minorEastAsia" w:eastAsiaTheme="minorEastAsia"/>
          <w:sz w:val="28"/>
          <w:szCs w:val="28"/>
          <w:highlight w:val="none"/>
          <w:lang w:eastAsia="zh-CN"/>
        </w:rPr>
        <w:t>增加</w:t>
      </w:r>
      <w:r>
        <w:rPr>
          <w:rFonts w:hint="eastAsia" w:ascii="宋体" w:hAnsi="宋体" w:eastAsiaTheme="minorEastAsia"/>
          <w:sz w:val="28"/>
          <w:szCs w:val="28"/>
          <w:highlight w:val="none"/>
          <w:lang w:eastAsia="zh-CN"/>
        </w:rPr>
        <w:t>12.25</w:t>
      </w:r>
      <w:r>
        <w:rPr>
          <w:rFonts w:hint="eastAsia" w:ascii="宋体" w:hAnsi="宋体"/>
          <w:sz w:val="28"/>
          <w:szCs w:val="28"/>
          <w:highlight w:val="none"/>
        </w:rPr>
        <w:t>万元，其中：项目支出减少</w:t>
      </w:r>
      <w:r>
        <w:rPr>
          <w:rFonts w:hint="eastAsia" w:ascii="宋体" w:hAnsi="宋体" w:eastAsiaTheme="minorEastAsia"/>
          <w:sz w:val="28"/>
          <w:szCs w:val="28"/>
          <w:highlight w:val="none"/>
          <w:lang w:eastAsia="zh-CN"/>
        </w:rPr>
        <w:t>8.72</w:t>
      </w:r>
      <w:r>
        <w:rPr>
          <w:rFonts w:hint="eastAsia" w:ascii="宋体" w:hAnsi="宋体"/>
          <w:sz w:val="28"/>
          <w:szCs w:val="28"/>
          <w:highlight w:val="none"/>
        </w:rPr>
        <w:t>万元，主要是</w:t>
      </w:r>
      <w:r>
        <w:rPr>
          <w:rFonts w:hint="eastAsia" w:asciiTheme="minorEastAsia" w:hAnsiTheme="minorEastAsia" w:eastAsiaTheme="minorEastAsia"/>
          <w:sz w:val="28"/>
          <w:szCs w:val="28"/>
          <w:highlight w:val="none"/>
          <w:lang w:eastAsia="zh-CN"/>
        </w:rPr>
        <w:t>一般人员定额补贴</w:t>
      </w:r>
      <w:r>
        <w:rPr>
          <w:rFonts w:hint="eastAsia" w:ascii="宋体" w:hAnsi="宋体"/>
          <w:sz w:val="28"/>
          <w:szCs w:val="28"/>
          <w:highlight w:val="none"/>
        </w:rPr>
        <w:t>减少</w:t>
      </w:r>
      <w:r>
        <w:rPr>
          <w:rFonts w:hint="eastAsia" w:ascii="宋体" w:hAnsi="宋体" w:eastAsiaTheme="minorEastAsia"/>
          <w:sz w:val="28"/>
          <w:szCs w:val="28"/>
          <w:highlight w:val="none"/>
          <w:lang w:eastAsia="zh-CN"/>
        </w:rPr>
        <w:t>12.94</w:t>
      </w:r>
      <w:r>
        <w:rPr>
          <w:rFonts w:hint="eastAsia" w:ascii="宋体" w:hAnsi="宋体"/>
          <w:sz w:val="28"/>
          <w:szCs w:val="28"/>
          <w:highlight w:val="none"/>
        </w:rPr>
        <w:t>万元</w:t>
      </w:r>
      <w:r>
        <w:rPr>
          <w:rFonts w:hint="eastAsia" w:asciiTheme="minorEastAsia" w:hAnsiTheme="minorEastAsia" w:eastAsiaTheme="minorEastAsia"/>
          <w:sz w:val="28"/>
          <w:szCs w:val="28"/>
          <w:highlight w:val="none"/>
          <w:lang w:eastAsia="zh-CN"/>
        </w:rPr>
        <w:t>，解决遗留问题</w:t>
      </w:r>
      <w:r>
        <w:rPr>
          <w:rFonts w:hint="eastAsia" w:ascii="宋体" w:hAnsi="宋体"/>
          <w:sz w:val="28"/>
          <w:szCs w:val="28"/>
          <w:highlight w:val="none"/>
        </w:rPr>
        <w:t>增加</w:t>
      </w:r>
      <w:r>
        <w:rPr>
          <w:rFonts w:hint="eastAsia" w:ascii="宋体" w:hAnsi="宋体" w:eastAsiaTheme="minorEastAsia"/>
          <w:sz w:val="28"/>
          <w:szCs w:val="28"/>
          <w:highlight w:val="none"/>
          <w:lang w:eastAsia="zh-CN"/>
        </w:rPr>
        <w:t>10</w:t>
      </w:r>
      <w:r>
        <w:rPr>
          <w:rFonts w:hint="eastAsia" w:ascii="宋体" w:hAnsi="宋体"/>
          <w:sz w:val="28"/>
          <w:szCs w:val="28"/>
          <w:highlight w:val="none"/>
        </w:rPr>
        <w:t>万元，公用经费减少</w:t>
      </w:r>
      <w:r>
        <w:rPr>
          <w:rFonts w:hint="eastAsia" w:ascii="宋体" w:hAnsi="宋体" w:eastAsiaTheme="minorEastAsia"/>
          <w:sz w:val="28"/>
          <w:szCs w:val="28"/>
          <w:highlight w:val="none"/>
          <w:lang w:eastAsia="zh-CN"/>
        </w:rPr>
        <w:t>6万元，</w:t>
      </w:r>
      <w:r>
        <w:rPr>
          <w:rFonts w:hint="eastAsia" w:ascii="宋体" w:hAnsi="宋体"/>
          <w:sz w:val="28"/>
          <w:szCs w:val="28"/>
          <w:highlight w:val="none"/>
        </w:rPr>
        <w:t>劳动聘用人员增加0.</w:t>
      </w:r>
      <w:r>
        <w:rPr>
          <w:rFonts w:hint="eastAsia" w:ascii="宋体" w:hAnsi="宋体" w:eastAsiaTheme="minorEastAsia"/>
          <w:sz w:val="28"/>
          <w:szCs w:val="28"/>
          <w:highlight w:val="none"/>
          <w:lang w:eastAsia="zh-CN"/>
        </w:rPr>
        <w:t>22</w:t>
      </w:r>
      <w:r>
        <w:rPr>
          <w:rFonts w:hint="eastAsia" w:ascii="宋体" w:hAnsi="宋体"/>
          <w:sz w:val="28"/>
          <w:szCs w:val="28"/>
          <w:highlight w:val="none"/>
        </w:rPr>
        <w:t>万元</w:t>
      </w:r>
      <w:r>
        <w:rPr>
          <w:rFonts w:hint="eastAsia" w:asciiTheme="minorEastAsia" w:hAnsiTheme="minorEastAsia" w:eastAsiaTheme="minorEastAsia"/>
          <w:sz w:val="28"/>
          <w:szCs w:val="28"/>
          <w:highlight w:val="none"/>
          <w:lang w:eastAsia="zh-CN"/>
        </w:rPr>
        <w:t>；基本支出增加20.97</w:t>
      </w:r>
      <w:r>
        <w:rPr>
          <w:rFonts w:hint="eastAsia" w:ascii="宋体" w:hAnsi="宋体"/>
          <w:sz w:val="28"/>
          <w:szCs w:val="28"/>
          <w:highlight w:val="none"/>
        </w:rPr>
        <w:t>万元。</w:t>
      </w:r>
    </w:p>
    <w:p>
      <w:pPr>
        <w:spacing w:before="10" w:after="10" w:line="360" w:lineRule="auto"/>
        <w:ind w:firstLine="640" w:firstLineChars="200"/>
        <w:outlineLvl w:val="2"/>
        <w:rPr>
          <w:rFonts w:ascii="黑体" w:hAnsi="黑体" w:eastAsia="黑体" w:cs="黑体"/>
          <w:color w:val="000000"/>
          <w:sz w:val="32"/>
          <w:highlight w:val="none"/>
          <w:lang w:eastAsia="zh-CN"/>
        </w:rPr>
      </w:pPr>
      <w:bookmarkStart w:id="11" w:name="_Toc_3_3_0000000012"/>
      <w:r>
        <w:rPr>
          <w:rFonts w:ascii="黑体" w:hAnsi="黑体" w:eastAsia="黑体" w:cs="黑体"/>
          <w:color w:val="000000"/>
          <w:sz w:val="32"/>
          <w:highlight w:val="none"/>
        </w:rPr>
        <w:t>三、机关运行经费安排情况</w:t>
      </w:r>
      <w:bookmarkEnd w:id="11"/>
    </w:p>
    <w:p>
      <w:pPr>
        <w:pStyle w:val="19"/>
        <w:rPr>
          <w:sz w:val="32"/>
          <w:szCs w:val="32"/>
          <w:highlight w:val="none"/>
          <w:lang w:eastAsia="zh-CN"/>
        </w:rPr>
      </w:pPr>
      <w:r>
        <w:rPr>
          <w:rFonts w:hint="eastAsia" w:ascii="黑体" w:hAnsi="黑体" w:eastAsia="黑体" w:cs="黑体"/>
          <w:color w:val="000000"/>
          <w:sz w:val="32"/>
          <w:highlight w:val="none"/>
          <w:lang w:eastAsia="zh-CN"/>
        </w:rPr>
        <w:t xml:space="preserve">      </w:t>
      </w:r>
      <w:r>
        <w:rPr>
          <w:rFonts w:hint="eastAsia"/>
          <w:sz w:val="32"/>
          <w:szCs w:val="32"/>
          <w:highlight w:val="none"/>
        </w:rPr>
        <w:t>202</w:t>
      </w:r>
      <w:r>
        <w:rPr>
          <w:rFonts w:hint="eastAsia" w:eastAsiaTheme="minorEastAsia"/>
          <w:sz w:val="32"/>
          <w:szCs w:val="32"/>
          <w:highlight w:val="none"/>
          <w:lang w:eastAsia="zh-CN"/>
        </w:rPr>
        <w:t>2</w:t>
      </w:r>
      <w:r>
        <w:rPr>
          <w:rFonts w:hint="eastAsia"/>
          <w:sz w:val="32"/>
          <w:szCs w:val="32"/>
          <w:highlight w:val="none"/>
        </w:rPr>
        <w:t>年，我</w:t>
      </w:r>
      <w:r>
        <w:rPr>
          <w:rFonts w:hint="eastAsia"/>
          <w:sz w:val="32"/>
          <w:szCs w:val="32"/>
          <w:highlight w:val="none"/>
          <w:lang w:eastAsia="zh-CN"/>
        </w:rPr>
        <w:t>部门</w:t>
      </w:r>
      <w:r>
        <w:rPr>
          <w:rFonts w:hint="eastAsia"/>
          <w:sz w:val="32"/>
          <w:szCs w:val="32"/>
          <w:highlight w:val="none"/>
        </w:rPr>
        <w:t>运行经费共计安排</w:t>
      </w:r>
      <w:r>
        <w:rPr>
          <w:rFonts w:hint="eastAsia" w:eastAsiaTheme="minorEastAsia"/>
          <w:sz w:val="32"/>
          <w:szCs w:val="32"/>
          <w:highlight w:val="none"/>
          <w:lang w:eastAsia="zh-CN"/>
        </w:rPr>
        <w:t>3.47</w:t>
      </w:r>
      <w:r>
        <w:rPr>
          <w:rFonts w:hint="eastAsia"/>
          <w:sz w:val="32"/>
          <w:szCs w:val="32"/>
          <w:highlight w:val="none"/>
        </w:rPr>
        <w:t>万元，</w:t>
      </w:r>
      <w:r>
        <w:rPr>
          <w:rFonts w:hint="eastAsia" w:ascii="宋体" w:hAnsi="宋体" w:eastAsia="宋体" w:cs="宋体"/>
          <w:sz w:val="32"/>
          <w:szCs w:val="32"/>
          <w:highlight w:val="none"/>
          <w:lang w:eastAsia="zh-CN"/>
        </w:rPr>
        <w:t>主要是保证机关正常运转的办公费、邮电费、水电费、日常维修费等支出</w:t>
      </w:r>
      <w:r>
        <w:rPr>
          <w:rFonts w:hint="eastAsia" w:asciiTheme="minorEastAsia" w:hAnsiTheme="minorEastAsia" w:eastAsiaTheme="minorEastAsia"/>
          <w:sz w:val="32"/>
          <w:szCs w:val="32"/>
          <w:highlight w:val="none"/>
          <w:lang w:eastAsia="zh-CN"/>
        </w:rPr>
        <w:t>（因物资局人员无编制，除副科以上退休人员福利费和活动经费0.47万元列入基本支出外，其余3万元是列入“公用经费”项目支出）</w:t>
      </w:r>
      <w:r>
        <w:rPr>
          <w:rFonts w:hint="eastAsia"/>
          <w:sz w:val="32"/>
          <w:szCs w:val="32"/>
          <w:highlight w:val="none"/>
          <w:lang w:eastAsia="zh-CN"/>
        </w:rPr>
        <w:t>。</w:t>
      </w:r>
    </w:p>
    <w:p>
      <w:pPr>
        <w:pStyle w:val="19"/>
        <w:rPr>
          <w:sz w:val="32"/>
          <w:szCs w:val="32"/>
          <w:highlight w:val="none"/>
          <w:lang w:eastAsia="zh-CN"/>
        </w:rPr>
      </w:pPr>
    </w:p>
    <w:p>
      <w:pPr>
        <w:spacing w:before="10" w:after="10" w:line="360" w:lineRule="auto"/>
        <w:ind w:firstLine="640"/>
        <w:outlineLvl w:val="2"/>
        <w:rPr>
          <w:rFonts w:ascii="黑体" w:hAnsi="黑体" w:eastAsia="黑体" w:cs="黑体"/>
          <w:color w:val="000000"/>
          <w:sz w:val="32"/>
          <w:highlight w:val="none"/>
          <w:lang w:eastAsia="zh-CN"/>
        </w:rPr>
      </w:pPr>
      <w:bookmarkStart w:id="12" w:name="_Toc_3_3_0000000013"/>
      <w:r>
        <w:rPr>
          <w:rFonts w:ascii="黑体" w:hAnsi="黑体" w:eastAsia="黑体" w:cs="黑体"/>
          <w:color w:val="000000"/>
          <w:sz w:val="32"/>
          <w:highlight w:val="none"/>
        </w:rPr>
        <w:t>四、财政拨款“三公”经费预算情况及增减变化原因</w:t>
      </w:r>
      <w:bookmarkEnd w:id="12"/>
    </w:p>
    <w:p>
      <w:pPr>
        <w:spacing w:line="360" w:lineRule="auto"/>
        <w:ind w:firstLine="640" w:firstLineChars="200"/>
        <w:outlineLvl w:val="9"/>
        <w:rPr>
          <w:rFonts w:ascii="宋体" w:hAnsi="宋体"/>
          <w:sz w:val="32"/>
          <w:szCs w:val="32"/>
          <w:highlight w:val="none"/>
        </w:rPr>
      </w:pPr>
      <w:r>
        <w:rPr>
          <w:rFonts w:hint="eastAsia" w:ascii="宋体" w:hAnsi="宋体"/>
          <w:sz w:val="32"/>
          <w:szCs w:val="32"/>
          <w:highlight w:val="none"/>
        </w:rPr>
        <w:t>202</w:t>
      </w:r>
      <w:r>
        <w:rPr>
          <w:rFonts w:hint="eastAsia" w:ascii="宋体" w:hAnsi="宋体" w:eastAsiaTheme="minorEastAsia"/>
          <w:sz w:val="32"/>
          <w:szCs w:val="32"/>
          <w:highlight w:val="none"/>
          <w:lang w:eastAsia="zh-CN"/>
        </w:rPr>
        <w:t>2</w:t>
      </w:r>
      <w:r>
        <w:rPr>
          <w:rFonts w:hint="eastAsia" w:ascii="宋体" w:hAnsi="宋体"/>
          <w:sz w:val="32"/>
          <w:szCs w:val="32"/>
          <w:highlight w:val="none"/>
        </w:rPr>
        <w:t>年本部门安排“三公”经费0万元。其中：</w:t>
      </w:r>
    </w:p>
    <w:p>
      <w:pPr>
        <w:spacing w:line="360" w:lineRule="auto"/>
        <w:ind w:firstLine="960" w:firstLineChars="300"/>
        <w:outlineLvl w:val="9"/>
        <w:rPr>
          <w:rFonts w:ascii="宋体" w:hAnsi="宋体"/>
          <w:sz w:val="32"/>
          <w:szCs w:val="32"/>
          <w:highlight w:val="none"/>
        </w:rPr>
      </w:pPr>
      <w:r>
        <w:rPr>
          <w:rFonts w:hint="eastAsia" w:ascii="宋体" w:hAnsi="宋体"/>
          <w:sz w:val="32"/>
          <w:szCs w:val="32"/>
          <w:highlight w:val="none"/>
        </w:rPr>
        <w:t>1、因公出国（境）费0万元，无增减变化，与上年一致。</w:t>
      </w:r>
    </w:p>
    <w:p>
      <w:pPr>
        <w:spacing w:line="360" w:lineRule="auto"/>
        <w:ind w:left="240" w:leftChars="100" w:firstLine="640" w:firstLineChars="200"/>
        <w:outlineLvl w:val="9"/>
        <w:rPr>
          <w:rFonts w:ascii="宋体" w:hAnsi="宋体"/>
          <w:sz w:val="32"/>
          <w:szCs w:val="32"/>
          <w:highlight w:val="none"/>
        </w:rPr>
      </w:pPr>
      <w:r>
        <w:rPr>
          <w:rFonts w:hint="eastAsia" w:ascii="宋体" w:hAnsi="宋体"/>
          <w:sz w:val="32"/>
          <w:szCs w:val="32"/>
          <w:highlight w:val="none"/>
        </w:rPr>
        <w:t>2、公务用车购置及运行维护费0万元。其中：公务用车购置0万元，无增减变化，与上年一致；公务用车运行维护费，无增减变化，与上年一致。</w:t>
      </w:r>
    </w:p>
    <w:p>
      <w:pPr>
        <w:autoSpaceDE w:val="0"/>
        <w:autoSpaceDN w:val="0"/>
        <w:adjustRightInd w:val="0"/>
        <w:ind w:left="198" w:firstLine="640" w:firstLineChars="200"/>
        <w:outlineLvl w:val="9"/>
        <w:rPr>
          <w:rFonts w:ascii="宋体" w:hAnsi="宋体" w:cs="仿宋_GB2312"/>
          <w:sz w:val="32"/>
          <w:szCs w:val="32"/>
          <w:highlight w:val="none"/>
        </w:rPr>
      </w:pPr>
      <w:r>
        <w:rPr>
          <w:rFonts w:hint="eastAsia" w:ascii="宋体" w:hAnsi="宋体"/>
          <w:sz w:val="32"/>
          <w:szCs w:val="32"/>
          <w:highlight w:val="none"/>
        </w:rPr>
        <w:t>3、公务接待费0万元，无增减变化，与上年一致。</w:t>
      </w:r>
    </w:p>
    <w:p>
      <w:pPr>
        <w:spacing w:before="10" w:after="10" w:line="360" w:lineRule="auto"/>
        <w:ind w:firstLine="640" w:firstLineChars="200"/>
        <w:outlineLvl w:val="2"/>
        <w:rPr>
          <w:highlight w:val="none"/>
        </w:rPr>
      </w:pPr>
      <w:bookmarkStart w:id="13" w:name="_Toc_3_3_0000000014"/>
      <w:r>
        <w:rPr>
          <w:rFonts w:ascii="黑体" w:hAnsi="黑体" w:eastAsia="黑体" w:cs="黑体"/>
          <w:color w:val="000000"/>
          <w:sz w:val="32"/>
          <w:highlight w:val="none"/>
        </w:rPr>
        <w:t>五、预算绩效信息</w:t>
      </w:r>
      <w:bookmarkEnd w:id="13"/>
    </w:p>
    <w:p>
      <w:pPr>
        <w:ind w:firstLine="640"/>
        <w:rPr>
          <w:highlight w:val="none"/>
        </w:rPr>
      </w:pPr>
      <w:r>
        <w:rPr>
          <w:rFonts w:ascii="方正楷体_GBK" w:hAnsi="方正楷体_GBK" w:eastAsia="方正楷体_GBK" w:cs="方正楷体_GBK"/>
          <w:b/>
          <w:color w:val="000000"/>
          <w:sz w:val="32"/>
          <w:highlight w:val="none"/>
        </w:rPr>
        <w:t>第一部分 部门整体绩效目标</w:t>
      </w:r>
    </w:p>
    <w:p>
      <w:pPr>
        <w:spacing w:line="500" w:lineRule="exact"/>
        <w:ind w:firstLine="560"/>
        <w:rPr>
          <w:highlight w:val="none"/>
        </w:rPr>
      </w:pPr>
      <w:r>
        <w:rPr>
          <w:rFonts w:eastAsia="方正仿宋_GBK"/>
          <w:color w:val="000000"/>
          <w:sz w:val="28"/>
          <w:highlight w:val="none"/>
        </w:rPr>
        <w:t>（一）总体绩效目标</w:t>
      </w:r>
    </w:p>
    <w:p>
      <w:pPr>
        <w:pStyle w:val="21"/>
        <w:rPr>
          <w:highlight w:val="none"/>
        </w:rPr>
      </w:pPr>
      <w:r>
        <w:rPr>
          <w:highlight w:val="none"/>
        </w:rPr>
        <w:t>1、物资系统历史遗留问题较多，下岗人员年龄不断老化，企业退休人员增多，上访隐患突出，物资系统的不稳定因素加重，做好下岗职工的思想工作至关重要。解决好下岗职工切身利益问题是做好稳定工作的重中之重，深入了解职工的思想状况和生活状况，与下岗职工面对面的交流和谈心，动之以情，晓之以理，依法按政策做好相关解释工作，确保干部职工的思想稳定，对排查出的矛盾纠纷及时进行解决处理，对信访和群众来访做到事事有回音，件件有结果，要做到纠纷不出单位，一般矛盾纠纷不上交的工作目标，不出现到市、赴省、进京和越级集体访。</w:t>
      </w:r>
    </w:p>
    <w:p>
      <w:pPr>
        <w:pStyle w:val="21"/>
        <w:rPr>
          <w:highlight w:val="none"/>
        </w:rPr>
      </w:pPr>
      <w:r>
        <w:rPr>
          <w:highlight w:val="none"/>
        </w:rPr>
        <w:t>2、做好机关管理及正常运转工作，切实加强干部职工队伍建设，做好机关党建工作，提高党员干部队伍的凝聚力和战斗力，营造想干事、能干事、干成事的良好氛围，推动全局各项工作开展，从维护改革发展稳定大局出发，逐步解决遗留问题，确保社会和谐与队伍稳定。</w:t>
      </w:r>
    </w:p>
    <w:p>
      <w:pPr>
        <w:pStyle w:val="21"/>
        <w:rPr>
          <w:highlight w:val="none"/>
        </w:rPr>
      </w:pPr>
      <w:r>
        <w:rPr>
          <w:highlight w:val="none"/>
        </w:rPr>
        <w:t>3、完成区委、区政府部署的其他各项工作。</w:t>
      </w:r>
    </w:p>
    <w:p>
      <w:pPr>
        <w:spacing w:line="500" w:lineRule="exact"/>
        <w:ind w:firstLine="560"/>
        <w:rPr>
          <w:highlight w:val="none"/>
        </w:rPr>
      </w:pPr>
      <w:r>
        <w:rPr>
          <w:rFonts w:eastAsia="方正仿宋_GBK"/>
          <w:color w:val="000000"/>
          <w:sz w:val="28"/>
          <w:highlight w:val="none"/>
        </w:rPr>
        <w:t>（二）分项绩效目标</w:t>
      </w:r>
    </w:p>
    <w:p>
      <w:pPr>
        <w:pStyle w:val="26"/>
        <w:ind w:firstLine="560" w:firstLineChars="200"/>
        <w:rPr>
          <w:sz w:val="28"/>
          <w:szCs w:val="28"/>
          <w:highlight w:val="none"/>
          <w:lang w:eastAsia="zh-CN"/>
        </w:rPr>
      </w:pPr>
      <w:r>
        <w:rPr>
          <w:rFonts w:hint="eastAsia" w:asciiTheme="minorEastAsia" w:hAnsiTheme="minorEastAsia" w:eastAsiaTheme="minorEastAsia"/>
          <w:color w:val="000000"/>
          <w:sz w:val="28"/>
          <w:highlight w:val="none"/>
          <w:lang w:eastAsia="zh-CN"/>
        </w:rPr>
        <w:t>1、</w:t>
      </w:r>
      <w:r>
        <w:rPr>
          <w:rFonts w:hint="eastAsia" w:eastAsiaTheme="minorEastAsia"/>
          <w:color w:val="000000"/>
          <w:sz w:val="28"/>
          <w:highlight w:val="none"/>
          <w:lang w:eastAsia="zh-CN"/>
        </w:rPr>
        <w:t>绩效目标：</w:t>
      </w:r>
      <w:r>
        <w:rPr>
          <w:sz w:val="28"/>
          <w:szCs w:val="28"/>
          <w:highlight w:val="none"/>
        </w:rPr>
        <w:t>保障机关正常运转</w:t>
      </w:r>
      <w:r>
        <w:rPr>
          <w:rFonts w:hint="eastAsia" w:asciiTheme="minorEastAsia" w:hAnsiTheme="minorEastAsia" w:eastAsiaTheme="minorEastAsia"/>
          <w:sz w:val="28"/>
          <w:szCs w:val="28"/>
          <w:highlight w:val="none"/>
          <w:lang w:eastAsia="zh-CN"/>
        </w:rPr>
        <w:t>，</w:t>
      </w:r>
      <w:r>
        <w:rPr>
          <w:sz w:val="28"/>
          <w:szCs w:val="28"/>
          <w:highlight w:val="none"/>
        </w:rPr>
        <w:t>做好下岗职工的思想工作，从维护改革发展大局出发，解决遗留问题确保社会和谐与队伍稳定</w:t>
      </w:r>
      <w:r>
        <w:rPr>
          <w:rFonts w:hint="eastAsia" w:asciiTheme="minorEastAsia" w:hAnsiTheme="minorEastAsia" w:eastAsiaTheme="minorEastAsia"/>
          <w:sz w:val="28"/>
          <w:szCs w:val="28"/>
          <w:highlight w:val="none"/>
          <w:lang w:eastAsia="zh-CN"/>
        </w:rPr>
        <w:t>；</w:t>
      </w:r>
      <w:r>
        <w:rPr>
          <w:sz w:val="28"/>
          <w:szCs w:val="28"/>
          <w:highlight w:val="none"/>
        </w:rPr>
        <w:t>劳务派遣人员的资金合理使用，资金及时发放到位</w:t>
      </w:r>
      <w:r>
        <w:rPr>
          <w:rFonts w:hint="eastAsia" w:asciiTheme="minorEastAsia" w:hAnsiTheme="minorEastAsia" w:eastAsiaTheme="minorEastAsia"/>
          <w:sz w:val="28"/>
          <w:szCs w:val="28"/>
          <w:highlight w:val="none"/>
          <w:lang w:eastAsia="zh-CN"/>
        </w:rPr>
        <w:t>。</w:t>
      </w:r>
    </w:p>
    <w:p>
      <w:pPr>
        <w:spacing w:line="500" w:lineRule="exact"/>
        <w:ind w:firstLine="560"/>
        <w:rPr>
          <w:rFonts w:eastAsiaTheme="minorEastAsia"/>
          <w:color w:val="000000"/>
          <w:sz w:val="28"/>
          <w:highlight w:val="none"/>
          <w:lang w:eastAsia="zh-CN"/>
        </w:rPr>
      </w:pPr>
      <w:r>
        <w:rPr>
          <w:rFonts w:hint="eastAsia" w:asciiTheme="minorEastAsia" w:hAnsiTheme="minorEastAsia" w:eastAsiaTheme="minorEastAsia"/>
          <w:color w:val="000000"/>
          <w:sz w:val="28"/>
          <w:highlight w:val="none"/>
          <w:lang w:eastAsia="zh-CN"/>
        </w:rPr>
        <w:t>2、绩效指标：数量指标是维持单位正常运转，保障人员的工资福利。质量指标是资金的支付完成率。实效指标是按时间节点完成工作，资金及时支付。成本指标是预算控制数不超预算；经济效益指标是提高工作效率，增强服务能力。社会效益指标保障工作顺利开展，人员安心工作，社会稳定水平提高。生态效益指标是促进生态文明建设，推动绿色发展。可持续影响指标是维护社会稳定，促进社会和谐；满意度指标是职工和服务对象满意度提升</w:t>
      </w:r>
      <w:r>
        <w:rPr>
          <w:rFonts w:hint="eastAsia" w:asciiTheme="minorEastAsia" w:hAnsiTheme="minorEastAsia" w:eastAsiaTheme="minorEastAsia"/>
          <w:highlight w:val="none"/>
          <w:lang w:eastAsia="zh-CN"/>
        </w:rPr>
        <w:t>。</w:t>
      </w:r>
    </w:p>
    <w:p>
      <w:pPr>
        <w:pStyle w:val="26"/>
        <w:rPr>
          <w:rFonts w:hint="eastAsia" w:eastAsiaTheme="minorEastAsia"/>
          <w:sz w:val="28"/>
          <w:szCs w:val="28"/>
          <w:highlight w:val="none"/>
          <w:lang w:eastAsia="zh-CN"/>
        </w:rPr>
      </w:pPr>
      <w:r>
        <w:rPr>
          <w:rFonts w:hint="eastAsia" w:eastAsiaTheme="minorEastAsia"/>
          <w:highlight w:val="none"/>
          <w:lang w:eastAsia="zh-CN"/>
        </w:rPr>
        <w:t xml:space="preserve">     </w:t>
      </w:r>
    </w:p>
    <w:p>
      <w:pPr>
        <w:spacing w:line="500" w:lineRule="exact"/>
        <w:ind w:firstLine="560"/>
        <w:rPr>
          <w:highlight w:val="none"/>
        </w:rPr>
      </w:pPr>
      <w:r>
        <w:rPr>
          <w:rFonts w:eastAsia="方正仿宋_GBK"/>
          <w:color w:val="000000"/>
          <w:sz w:val="28"/>
          <w:highlight w:val="none"/>
        </w:rPr>
        <w:t>（三）工作保障措施</w:t>
      </w:r>
    </w:p>
    <w:p>
      <w:pPr>
        <w:pStyle w:val="23"/>
        <w:rPr>
          <w:highlight w:val="none"/>
        </w:rPr>
      </w:pPr>
      <w:r>
        <w:rPr>
          <w:highlight w:val="none"/>
        </w:rPr>
        <w:t>1、做好机关管理及党建工作。充分发挥党组织的战斗堡垒作用和党员的先锋模范作用，群策群力解难题。</w:t>
      </w:r>
    </w:p>
    <w:p>
      <w:pPr>
        <w:pStyle w:val="23"/>
        <w:rPr>
          <w:highlight w:val="none"/>
        </w:rPr>
      </w:pPr>
      <w:r>
        <w:rPr>
          <w:highlight w:val="none"/>
        </w:rPr>
        <w:t>2、做好下岗职工的思想工作，从维护改革发展稳定大局出发，逐步解决遗留问题，确保社会和谐与队伍稳定。</w:t>
      </w:r>
    </w:p>
    <w:p>
      <w:pPr>
        <w:pStyle w:val="23"/>
        <w:rPr>
          <w:highlight w:val="none"/>
        </w:rPr>
      </w:pPr>
      <w:r>
        <w:rPr>
          <w:highlight w:val="none"/>
        </w:rPr>
        <w:t>3、按照区委、区政府部署做好其他各项工作。</w:t>
      </w:r>
    </w:p>
    <w:p>
      <w:pPr>
        <w:pStyle w:val="24"/>
        <w:ind w:firstLine="640"/>
        <w:rPr>
          <w:highlight w:val="none"/>
        </w:rPr>
      </w:pPr>
      <w:r>
        <w:rPr>
          <w:rFonts w:ascii="方正楷体_GBK" w:hAnsi="方正楷体_GBK" w:eastAsia="方正楷体_GBK" w:cs="方正楷体_GBK"/>
          <w:b/>
          <w:color w:val="000000"/>
          <w:sz w:val="32"/>
          <w:highlight w:val="none"/>
        </w:rPr>
        <w:t>第二部分  预算项目绩效目标</w:t>
      </w:r>
    </w:p>
    <w:p>
      <w:pPr>
        <w:pStyle w:val="24"/>
        <w:ind w:firstLine="560"/>
        <w:rPr>
          <w:rFonts w:hint="eastAsia" w:ascii="方正仿宋_GBK" w:hAnsi="方正仿宋_GBK" w:cs="方正仿宋_GBK" w:eastAsiaTheme="minorEastAsia"/>
          <w:b/>
          <w:color w:val="000000"/>
          <w:sz w:val="28"/>
          <w:highlight w:val="none"/>
          <w:lang w:eastAsia="zh-CN"/>
        </w:rPr>
      </w:pPr>
    </w:p>
    <w:p>
      <w:pPr>
        <w:pStyle w:val="24"/>
        <w:ind w:firstLine="560"/>
        <w:rPr>
          <w:rFonts w:hint="eastAsia" w:ascii="方正仿宋_GBK" w:hAnsi="方正仿宋_GBK" w:cs="方正仿宋_GBK" w:eastAsiaTheme="minorEastAsia"/>
          <w:b/>
          <w:color w:val="000000"/>
          <w:sz w:val="28"/>
          <w:highlight w:val="none"/>
          <w:lang w:eastAsia="zh-CN"/>
        </w:rPr>
      </w:pPr>
    </w:p>
    <w:p>
      <w:pPr>
        <w:pStyle w:val="24"/>
        <w:ind w:firstLine="560"/>
        <w:rPr>
          <w:rFonts w:hint="eastAsia" w:ascii="方正仿宋_GBK" w:hAnsi="方正仿宋_GBK" w:cs="方正仿宋_GBK" w:eastAsiaTheme="minorEastAsia"/>
          <w:b/>
          <w:color w:val="000000"/>
          <w:sz w:val="28"/>
          <w:highlight w:val="none"/>
          <w:lang w:eastAsia="zh-CN"/>
        </w:rPr>
      </w:pPr>
    </w:p>
    <w:p>
      <w:pPr>
        <w:pStyle w:val="24"/>
        <w:ind w:firstLine="560"/>
        <w:rPr>
          <w:highlight w:val="none"/>
        </w:rPr>
      </w:pPr>
      <w:r>
        <w:rPr>
          <w:rFonts w:ascii="方正仿宋_GBK" w:hAnsi="方正仿宋_GBK" w:eastAsia="方正仿宋_GBK" w:cs="方正仿宋_GBK"/>
          <w:b/>
          <w:color w:val="000000"/>
          <w:sz w:val="28"/>
          <w:highlight w:val="none"/>
        </w:rPr>
        <w:t>1、公用经费绩效目标表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highlight w:val="none"/>
              </w:rPr>
            </w:pPr>
            <w:r>
              <w:rPr>
                <w:highlight w:val="none"/>
              </w:rPr>
              <w:t>绩效目标</w:t>
            </w:r>
          </w:p>
        </w:tc>
        <w:tc>
          <w:tcPr>
            <w:tcW w:w="12756" w:type="dxa"/>
            <w:tcBorders>
              <w:bottom w:val="single" w:color="FFFFFF" w:sz="6" w:space="0"/>
            </w:tcBorders>
            <w:vAlign w:val="center"/>
          </w:tcPr>
          <w:p>
            <w:pPr>
              <w:pStyle w:val="26"/>
              <w:rPr>
                <w:highlight w:val="none"/>
              </w:rPr>
            </w:pPr>
            <w:r>
              <w:rPr>
                <w:highlight w:val="none"/>
              </w:rPr>
              <w:t>1.保障机关正常运转</w:t>
            </w:r>
          </w:p>
          <w:p>
            <w:pPr>
              <w:pStyle w:val="26"/>
              <w:rPr>
                <w:highlight w:val="none"/>
              </w:rPr>
            </w:pPr>
            <w:r>
              <w:rPr>
                <w:highlight w:val="none"/>
              </w:rPr>
              <w:t>2.做好下岗职工的思想工作，解决遗留问题</w:t>
            </w:r>
          </w:p>
          <w:p>
            <w:pPr>
              <w:pStyle w:val="26"/>
              <w:rPr>
                <w:highlight w:val="none"/>
              </w:rPr>
            </w:pPr>
            <w:r>
              <w:rPr>
                <w:highlight w:val="none"/>
              </w:rPr>
              <w:t>3.确保社会和谐与队伍稳定</w:t>
            </w:r>
          </w:p>
        </w:tc>
      </w:tr>
    </w:tbl>
    <w:p>
      <w:pPr>
        <w:pStyle w:val="24"/>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highlight w:val="none"/>
              </w:rPr>
            </w:pPr>
            <w:r>
              <w:rPr>
                <w:highlight w:val="none"/>
              </w:rPr>
              <w:t>一级指标</w:t>
            </w:r>
          </w:p>
        </w:tc>
        <w:tc>
          <w:tcPr>
            <w:tcW w:w="2268" w:type="dxa"/>
            <w:vAlign w:val="center"/>
          </w:tcPr>
          <w:p>
            <w:pPr>
              <w:pStyle w:val="25"/>
              <w:rPr>
                <w:highlight w:val="none"/>
              </w:rPr>
            </w:pPr>
            <w:r>
              <w:rPr>
                <w:highlight w:val="none"/>
              </w:rPr>
              <w:t>二级指标</w:t>
            </w:r>
          </w:p>
        </w:tc>
        <w:tc>
          <w:tcPr>
            <w:tcW w:w="2835" w:type="dxa"/>
            <w:vAlign w:val="center"/>
          </w:tcPr>
          <w:p>
            <w:pPr>
              <w:pStyle w:val="25"/>
              <w:rPr>
                <w:highlight w:val="none"/>
              </w:rPr>
            </w:pPr>
            <w:r>
              <w:rPr>
                <w:highlight w:val="none"/>
              </w:rPr>
              <w:t>三级指标</w:t>
            </w:r>
          </w:p>
        </w:tc>
        <w:tc>
          <w:tcPr>
            <w:tcW w:w="2835" w:type="dxa"/>
            <w:vAlign w:val="center"/>
          </w:tcPr>
          <w:p>
            <w:pPr>
              <w:pStyle w:val="25"/>
              <w:rPr>
                <w:highlight w:val="none"/>
              </w:rPr>
            </w:pPr>
            <w:r>
              <w:rPr>
                <w:highlight w:val="none"/>
              </w:rPr>
              <w:t>绩效指标描述</w:t>
            </w:r>
          </w:p>
        </w:tc>
        <w:tc>
          <w:tcPr>
            <w:tcW w:w="2551" w:type="dxa"/>
            <w:vAlign w:val="center"/>
          </w:tcPr>
          <w:p>
            <w:pPr>
              <w:pStyle w:val="25"/>
              <w:rPr>
                <w:highlight w:val="none"/>
              </w:rPr>
            </w:pPr>
            <w:r>
              <w:rPr>
                <w:highlight w:val="none"/>
              </w:rPr>
              <w:t>指标值</w:t>
            </w:r>
          </w:p>
        </w:tc>
        <w:tc>
          <w:tcPr>
            <w:tcW w:w="2268" w:type="dxa"/>
            <w:vAlign w:val="center"/>
          </w:tcPr>
          <w:p>
            <w:pPr>
              <w:pStyle w:val="25"/>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产出指标</w:t>
            </w:r>
          </w:p>
        </w:tc>
        <w:tc>
          <w:tcPr>
            <w:tcW w:w="2268" w:type="dxa"/>
            <w:vAlign w:val="center"/>
          </w:tcPr>
          <w:p>
            <w:pPr>
              <w:pStyle w:val="26"/>
              <w:rPr>
                <w:highlight w:val="none"/>
              </w:rPr>
            </w:pPr>
            <w:r>
              <w:rPr>
                <w:highlight w:val="none"/>
              </w:rPr>
              <w:t>数量指标</w:t>
            </w:r>
          </w:p>
        </w:tc>
        <w:tc>
          <w:tcPr>
            <w:tcW w:w="2835" w:type="dxa"/>
            <w:vAlign w:val="center"/>
          </w:tcPr>
          <w:p>
            <w:pPr>
              <w:pStyle w:val="26"/>
              <w:rPr>
                <w:highlight w:val="none"/>
              </w:rPr>
            </w:pPr>
            <w:r>
              <w:rPr>
                <w:highlight w:val="none"/>
              </w:rPr>
              <w:t>维持单位正常运转</w:t>
            </w:r>
          </w:p>
        </w:tc>
        <w:tc>
          <w:tcPr>
            <w:tcW w:w="2835" w:type="dxa"/>
            <w:vAlign w:val="center"/>
          </w:tcPr>
          <w:p>
            <w:pPr>
              <w:pStyle w:val="26"/>
              <w:rPr>
                <w:highlight w:val="none"/>
              </w:rPr>
            </w:pPr>
            <w:r>
              <w:rPr>
                <w:highlight w:val="none"/>
              </w:rPr>
              <w:t>维持单位正常运转</w:t>
            </w:r>
          </w:p>
        </w:tc>
        <w:tc>
          <w:tcPr>
            <w:tcW w:w="2551" w:type="dxa"/>
            <w:vAlign w:val="center"/>
          </w:tcPr>
          <w:p>
            <w:pPr>
              <w:pStyle w:val="26"/>
              <w:rPr>
                <w:rFonts w:hint="eastAsia" w:eastAsiaTheme="minorEastAsia"/>
                <w:highlight w:val="none"/>
                <w:lang w:eastAsia="zh-CN"/>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质量指标</w:t>
            </w:r>
          </w:p>
        </w:tc>
        <w:tc>
          <w:tcPr>
            <w:tcW w:w="2835" w:type="dxa"/>
            <w:vAlign w:val="center"/>
          </w:tcPr>
          <w:p>
            <w:pPr>
              <w:pStyle w:val="26"/>
              <w:rPr>
                <w:highlight w:val="none"/>
              </w:rPr>
            </w:pPr>
            <w:r>
              <w:rPr>
                <w:highlight w:val="none"/>
              </w:rPr>
              <w:t>资金支付率</w:t>
            </w:r>
          </w:p>
        </w:tc>
        <w:tc>
          <w:tcPr>
            <w:tcW w:w="2835" w:type="dxa"/>
            <w:vAlign w:val="center"/>
          </w:tcPr>
          <w:p>
            <w:pPr>
              <w:pStyle w:val="26"/>
              <w:rPr>
                <w:highlight w:val="none"/>
              </w:rPr>
            </w:pPr>
            <w:r>
              <w:rPr>
                <w:highlight w:val="none"/>
              </w:rPr>
              <w:t>资金支付率</w:t>
            </w:r>
          </w:p>
        </w:tc>
        <w:tc>
          <w:tcPr>
            <w:tcW w:w="2551" w:type="dxa"/>
            <w:vAlign w:val="center"/>
          </w:tcPr>
          <w:p>
            <w:pPr>
              <w:pStyle w:val="26"/>
              <w:rPr>
                <w:highlight w:val="none"/>
              </w:rPr>
            </w:pPr>
            <w:r>
              <w:rPr>
                <w:highlight w:val="none"/>
              </w:rPr>
              <w:t>100百分比</w:t>
            </w:r>
            <w:r>
              <w:rPr>
                <w:rFonts w:hint="eastAsia" w:eastAsiaTheme="minorEastAsia"/>
                <w:highlight w:val="none"/>
                <w:lang w:eastAsia="zh-CN"/>
              </w:rPr>
              <w:t xml:space="preserve"> </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时效指标</w:t>
            </w:r>
          </w:p>
        </w:tc>
        <w:tc>
          <w:tcPr>
            <w:tcW w:w="2835" w:type="dxa"/>
            <w:vAlign w:val="center"/>
          </w:tcPr>
          <w:p>
            <w:pPr>
              <w:pStyle w:val="26"/>
              <w:rPr>
                <w:highlight w:val="none"/>
              </w:rPr>
            </w:pPr>
            <w:r>
              <w:rPr>
                <w:highlight w:val="none"/>
              </w:rPr>
              <w:t>按时完成率</w:t>
            </w:r>
          </w:p>
        </w:tc>
        <w:tc>
          <w:tcPr>
            <w:tcW w:w="2835" w:type="dxa"/>
            <w:vAlign w:val="center"/>
          </w:tcPr>
          <w:p>
            <w:pPr>
              <w:pStyle w:val="26"/>
              <w:rPr>
                <w:highlight w:val="none"/>
              </w:rPr>
            </w:pPr>
            <w:r>
              <w:rPr>
                <w:highlight w:val="none"/>
              </w:rPr>
              <w:t>按时间节点完成工作</w:t>
            </w:r>
          </w:p>
        </w:tc>
        <w:tc>
          <w:tcPr>
            <w:tcW w:w="2551" w:type="dxa"/>
            <w:vAlign w:val="center"/>
          </w:tcPr>
          <w:p>
            <w:pPr>
              <w:pStyle w:val="26"/>
              <w:rPr>
                <w:rFonts w:hint="eastAsia" w:eastAsiaTheme="minorEastAsia"/>
                <w:highlight w:val="none"/>
                <w:lang w:eastAsia="zh-CN"/>
              </w:rPr>
            </w:pPr>
            <w:r>
              <w:rPr>
                <w:highlight w:val="none"/>
              </w:rPr>
              <w:t>≥95百分比</w:t>
            </w:r>
            <w:r>
              <w:rPr>
                <w:rFonts w:hint="eastAsia" w:eastAsiaTheme="minorEastAsia"/>
                <w:highlight w:val="none"/>
                <w:lang w:eastAsia="zh-CN"/>
              </w:rPr>
              <w:t xml:space="preserve"> </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成本指标</w:t>
            </w:r>
          </w:p>
        </w:tc>
        <w:tc>
          <w:tcPr>
            <w:tcW w:w="2835" w:type="dxa"/>
            <w:vAlign w:val="center"/>
          </w:tcPr>
          <w:p>
            <w:pPr>
              <w:pStyle w:val="26"/>
              <w:rPr>
                <w:highlight w:val="none"/>
              </w:rPr>
            </w:pPr>
            <w:r>
              <w:rPr>
                <w:highlight w:val="none"/>
              </w:rPr>
              <w:t>预算控制数</w:t>
            </w:r>
          </w:p>
        </w:tc>
        <w:tc>
          <w:tcPr>
            <w:tcW w:w="2835" w:type="dxa"/>
            <w:vAlign w:val="center"/>
          </w:tcPr>
          <w:p>
            <w:pPr>
              <w:pStyle w:val="26"/>
              <w:rPr>
                <w:highlight w:val="none"/>
              </w:rPr>
            </w:pPr>
            <w:r>
              <w:rPr>
                <w:highlight w:val="none"/>
              </w:rPr>
              <w:t>预算控制数</w:t>
            </w:r>
          </w:p>
        </w:tc>
        <w:tc>
          <w:tcPr>
            <w:tcW w:w="2551" w:type="dxa"/>
            <w:vAlign w:val="center"/>
          </w:tcPr>
          <w:p>
            <w:pPr>
              <w:pStyle w:val="26"/>
              <w:rPr>
                <w:rFonts w:hint="eastAsia" w:eastAsiaTheme="minorEastAsia"/>
                <w:highlight w:val="none"/>
                <w:lang w:eastAsia="zh-CN"/>
              </w:rPr>
            </w:pPr>
            <w:r>
              <w:rPr>
                <w:highlight w:val="none"/>
              </w:rPr>
              <w:t>100百分比</w:t>
            </w:r>
            <w:r>
              <w:rPr>
                <w:rFonts w:hint="eastAsia" w:eastAsiaTheme="minorEastAsia"/>
                <w:highlight w:val="none"/>
                <w:lang w:eastAsia="zh-CN"/>
              </w:rPr>
              <w:t xml:space="preserve"> </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效益指标</w:t>
            </w:r>
          </w:p>
        </w:tc>
        <w:tc>
          <w:tcPr>
            <w:tcW w:w="2268" w:type="dxa"/>
            <w:vAlign w:val="center"/>
          </w:tcPr>
          <w:p>
            <w:pPr>
              <w:pStyle w:val="26"/>
              <w:rPr>
                <w:highlight w:val="none"/>
              </w:rPr>
            </w:pPr>
            <w:r>
              <w:rPr>
                <w:highlight w:val="none"/>
              </w:rPr>
              <w:t>经济效益指标</w:t>
            </w:r>
          </w:p>
        </w:tc>
        <w:tc>
          <w:tcPr>
            <w:tcW w:w="2835" w:type="dxa"/>
            <w:vAlign w:val="center"/>
          </w:tcPr>
          <w:p>
            <w:pPr>
              <w:pStyle w:val="26"/>
              <w:rPr>
                <w:highlight w:val="none"/>
              </w:rPr>
            </w:pPr>
            <w:r>
              <w:rPr>
                <w:highlight w:val="none"/>
              </w:rPr>
              <w:t>提高工作效率</w:t>
            </w:r>
          </w:p>
        </w:tc>
        <w:tc>
          <w:tcPr>
            <w:tcW w:w="2835" w:type="dxa"/>
            <w:vAlign w:val="center"/>
          </w:tcPr>
          <w:p>
            <w:pPr>
              <w:pStyle w:val="26"/>
              <w:rPr>
                <w:highlight w:val="none"/>
              </w:rPr>
            </w:pPr>
            <w:r>
              <w:rPr>
                <w:highlight w:val="none"/>
              </w:rPr>
              <w:t>提高工作效率</w:t>
            </w:r>
          </w:p>
        </w:tc>
        <w:tc>
          <w:tcPr>
            <w:tcW w:w="2551" w:type="dxa"/>
            <w:vAlign w:val="center"/>
          </w:tcPr>
          <w:p>
            <w:pPr>
              <w:pStyle w:val="26"/>
              <w:rPr>
                <w:rFonts w:hint="eastAsia" w:eastAsiaTheme="minorEastAsia"/>
                <w:highlight w:val="none"/>
                <w:lang w:eastAsia="zh-CN"/>
              </w:rPr>
            </w:pPr>
            <w:r>
              <w:rPr>
                <w:highlight w:val="none"/>
              </w:rPr>
              <w:t>100百分比</w:t>
            </w:r>
            <w:r>
              <w:rPr>
                <w:rFonts w:hint="eastAsia" w:eastAsiaTheme="minorEastAsia"/>
                <w:highlight w:val="none"/>
                <w:lang w:eastAsia="zh-CN"/>
              </w:rPr>
              <w:t xml:space="preserve"> </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社会效益指标</w:t>
            </w:r>
          </w:p>
        </w:tc>
        <w:tc>
          <w:tcPr>
            <w:tcW w:w="2835" w:type="dxa"/>
            <w:vAlign w:val="center"/>
          </w:tcPr>
          <w:p>
            <w:pPr>
              <w:pStyle w:val="26"/>
              <w:rPr>
                <w:highlight w:val="none"/>
              </w:rPr>
            </w:pPr>
            <w:r>
              <w:rPr>
                <w:highlight w:val="none"/>
              </w:rPr>
              <w:t>保障工作顺利开展</w:t>
            </w:r>
          </w:p>
        </w:tc>
        <w:tc>
          <w:tcPr>
            <w:tcW w:w="2835" w:type="dxa"/>
            <w:vAlign w:val="center"/>
          </w:tcPr>
          <w:p>
            <w:pPr>
              <w:pStyle w:val="26"/>
              <w:rPr>
                <w:highlight w:val="none"/>
              </w:rPr>
            </w:pPr>
            <w:r>
              <w:rPr>
                <w:highlight w:val="none"/>
              </w:rPr>
              <w:t>保障工作顺利开展</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生态效益指标</w:t>
            </w:r>
          </w:p>
        </w:tc>
        <w:tc>
          <w:tcPr>
            <w:tcW w:w="2835" w:type="dxa"/>
            <w:vAlign w:val="center"/>
          </w:tcPr>
          <w:p>
            <w:pPr>
              <w:pStyle w:val="26"/>
              <w:rPr>
                <w:highlight w:val="none"/>
              </w:rPr>
            </w:pPr>
            <w:r>
              <w:rPr>
                <w:highlight w:val="none"/>
              </w:rPr>
              <w:t>促进生态文明建设</w:t>
            </w:r>
          </w:p>
        </w:tc>
        <w:tc>
          <w:tcPr>
            <w:tcW w:w="2835" w:type="dxa"/>
            <w:vAlign w:val="center"/>
          </w:tcPr>
          <w:p>
            <w:pPr>
              <w:pStyle w:val="26"/>
              <w:rPr>
                <w:highlight w:val="none"/>
              </w:rPr>
            </w:pPr>
            <w:r>
              <w:rPr>
                <w:highlight w:val="none"/>
              </w:rPr>
              <w:t>促进生态文明建设，推动绿色发展</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可持续影响指标</w:t>
            </w:r>
          </w:p>
        </w:tc>
        <w:tc>
          <w:tcPr>
            <w:tcW w:w="2835" w:type="dxa"/>
            <w:vAlign w:val="center"/>
          </w:tcPr>
          <w:p>
            <w:pPr>
              <w:pStyle w:val="26"/>
              <w:rPr>
                <w:highlight w:val="none"/>
              </w:rPr>
            </w:pPr>
            <w:r>
              <w:rPr>
                <w:highlight w:val="none"/>
              </w:rPr>
              <w:t>维护社会稳定</w:t>
            </w:r>
          </w:p>
        </w:tc>
        <w:tc>
          <w:tcPr>
            <w:tcW w:w="2835" w:type="dxa"/>
            <w:vAlign w:val="center"/>
          </w:tcPr>
          <w:p>
            <w:pPr>
              <w:pStyle w:val="26"/>
              <w:rPr>
                <w:highlight w:val="none"/>
              </w:rPr>
            </w:pPr>
            <w:r>
              <w:rPr>
                <w:highlight w:val="none"/>
              </w:rPr>
              <w:t>维护社会稳定</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highlight w:val="none"/>
              </w:rPr>
            </w:pPr>
            <w:r>
              <w:rPr>
                <w:highlight w:val="none"/>
              </w:rPr>
              <w:t>满意度指标</w:t>
            </w:r>
          </w:p>
        </w:tc>
        <w:tc>
          <w:tcPr>
            <w:tcW w:w="2268" w:type="dxa"/>
            <w:vAlign w:val="center"/>
          </w:tcPr>
          <w:p>
            <w:pPr>
              <w:pStyle w:val="26"/>
              <w:rPr>
                <w:highlight w:val="none"/>
              </w:rPr>
            </w:pPr>
            <w:r>
              <w:rPr>
                <w:highlight w:val="none"/>
              </w:rPr>
              <w:t>服务对象满意度指标</w:t>
            </w:r>
          </w:p>
        </w:tc>
        <w:tc>
          <w:tcPr>
            <w:tcW w:w="2835" w:type="dxa"/>
            <w:vAlign w:val="center"/>
          </w:tcPr>
          <w:p>
            <w:pPr>
              <w:pStyle w:val="26"/>
              <w:rPr>
                <w:highlight w:val="none"/>
              </w:rPr>
            </w:pPr>
            <w:r>
              <w:rPr>
                <w:highlight w:val="none"/>
              </w:rPr>
              <w:t>服务对象的满意度</w:t>
            </w:r>
          </w:p>
        </w:tc>
        <w:tc>
          <w:tcPr>
            <w:tcW w:w="2835" w:type="dxa"/>
            <w:vAlign w:val="center"/>
          </w:tcPr>
          <w:p>
            <w:pPr>
              <w:pStyle w:val="26"/>
              <w:rPr>
                <w:highlight w:val="none"/>
              </w:rPr>
            </w:pPr>
            <w:r>
              <w:rPr>
                <w:highlight w:val="none"/>
              </w:rPr>
              <w:t>服务对象的满意度提升</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bl>
    <w:p>
      <w:pPr>
        <w:pStyle w:val="24"/>
        <w:rPr>
          <w:highlight w:val="none"/>
        </w:rPr>
      </w:pPr>
    </w:p>
    <w:p>
      <w:pPr>
        <w:pStyle w:val="24"/>
        <w:ind w:firstLine="560"/>
        <w:rPr>
          <w:highlight w:val="none"/>
        </w:rPr>
      </w:pPr>
      <w:r>
        <w:rPr>
          <w:rFonts w:ascii="方正仿宋_GBK" w:hAnsi="方正仿宋_GBK" w:eastAsia="方正仿宋_GBK" w:cs="方正仿宋_GBK"/>
          <w:b/>
          <w:color w:val="000000"/>
          <w:sz w:val="28"/>
          <w:highlight w:val="none"/>
        </w:rPr>
        <w:t>2、劳务派遣人员经费绩效目标表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highlight w:val="none"/>
              </w:rPr>
            </w:pPr>
            <w:r>
              <w:rPr>
                <w:highlight w:val="none"/>
              </w:rPr>
              <w:t>绩效目标</w:t>
            </w:r>
          </w:p>
        </w:tc>
        <w:tc>
          <w:tcPr>
            <w:tcW w:w="12756" w:type="dxa"/>
            <w:tcBorders>
              <w:bottom w:val="single" w:color="FFFFFF" w:sz="6" w:space="0"/>
            </w:tcBorders>
            <w:vAlign w:val="center"/>
          </w:tcPr>
          <w:p>
            <w:pPr>
              <w:pStyle w:val="26"/>
              <w:rPr>
                <w:highlight w:val="none"/>
              </w:rPr>
            </w:pPr>
            <w:r>
              <w:rPr>
                <w:highlight w:val="none"/>
              </w:rPr>
              <w:t>1.劳务派遣人员的资金合理使用，资金及时到位</w:t>
            </w:r>
          </w:p>
          <w:p>
            <w:pPr>
              <w:pStyle w:val="26"/>
              <w:rPr>
                <w:highlight w:val="none"/>
              </w:rPr>
            </w:pPr>
            <w:r>
              <w:rPr>
                <w:highlight w:val="none"/>
              </w:rPr>
              <w:t>2.确保单位正常运转</w:t>
            </w:r>
          </w:p>
        </w:tc>
      </w:tr>
    </w:tbl>
    <w:p>
      <w:pPr>
        <w:pStyle w:val="24"/>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highlight w:val="none"/>
              </w:rPr>
            </w:pPr>
            <w:r>
              <w:rPr>
                <w:highlight w:val="none"/>
              </w:rPr>
              <w:t>一级指标</w:t>
            </w:r>
          </w:p>
        </w:tc>
        <w:tc>
          <w:tcPr>
            <w:tcW w:w="2268" w:type="dxa"/>
            <w:vAlign w:val="center"/>
          </w:tcPr>
          <w:p>
            <w:pPr>
              <w:pStyle w:val="25"/>
              <w:rPr>
                <w:highlight w:val="none"/>
              </w:rPr>
            </w:pPr>
            <w:r>
              <w:rPr>
                <w:highlight w:val="none"/>
              </w:rPr>
              <w:t>二级指标</w:t>
            </w:r>
          </w:p>
        </w:tc>
        <w:tc>
          <w:tcPr>
            <w:tcW w:w="2835" w:type="dxa"/>
            <w:vAlign w:val="center"/>
          </w:tcPr>
          <w:p>
            <w:pPr>
              <w:pStyle w:val="25"/>
              <w:rPr>
                <w:highlight w:val="none"/>
              </w:rPr>
            </w:pPr>
            <w:r>
              <w:rPr>
                <w:highlight w:val="none"/>
              </w:rPr>
              <w:t>三级指标</w:t>
            </w:r>
          </w:p>
        </w:tc>
        <w:tc>
          <w:tcPr>
            <w:tcW w:w="2835" w:type="dxa"/>
            <w:vAlign w:val="center"/>
          </w:tcPr>
          <w:p>
            <w:pPr>
              <w:pStyle w:val="25"/>
              <w:rPr>
                <w:highlight w:val="none"/>
              </w:rPr>
            </w:pPr>
            <w:r>
              <w:rPr>
                <w:highlight w:val="none"/>
              </w:rPr>
              <w:t>绩效指标描述</w:t>
            </w:r>
          </w:p>
        </w:tc>
        <w:tc>
          <w:tcPr>
            <w:tcW w:w="2551" w:type="dxa"/>
            <w:vAlign w:val="center"/>
          </w:tcPr>
          <w:p>
            <w:pPr>
              <w:pStyle w:val="25"/>
              <w:rPr>
                <w:highlight w:val="none"/>
              </w:rPr>
            </w:pPr>
            <w:r>
              <w:rPr>
                <w:highlight w:val="none"/>
              </w:rPr>
              <w:t>指标值</w:t>
            </w:r>
          </w:p>
        </w:tc>
        <w:tc>
          <w:tcPr>
            <w:tcW w:w="2268" w:type="dxa"/>
            <w:vAlign w:val="center"/>
          </w:tcPr>
          <w:p>
            <w:pPr>
              <w:pStyle w:val="25"/>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产出指标</w:t>
            </w:r>
          </w:p>
        </w:tc>
        <w:tc>
          <w:tcPr>
            <w:tcW w:w="2268" w:type="dxa"/>
            <w:vAlign w:val="center"/>
          </w:tcPr>
          <w:p>
            <w:pPr>
              <w:pStyle w:val="26"/>
              <w:rPr>
                <w:highlight w:val="none"/>
              </w:rPr>
            </w:pPr>
            <w:r>
              <w:rPr>
                <w:highlight w:val="none"/>
              </w:rPr>
              <w:t>数量指标</w:t>
            </w:r>
          </w:p>
        </w:tc>
        <w:tc>
          <w:tcPr>
            <w:tcW w:w="2835" w:type="dxa"/>
            <w:vAlign w:val="center"/>
          </w:tcPr>
          <w:p>
            <w:pPr>
              <w:pStyle w:val="26"/>
              <w:rPr>
                <w:highlight w:val="none"/>
              </w:rPr>
            </w:pPr>
            <w:r>
              <w:rPr>
                <w:highlight w:val="none"/>
              </w:rPr>
              <w:t>保障人数</w:t>
            </w:r>
          </w:p>
        </w:tc>
        <w:tc>
          <w:tcPr>
            <w:tcW w:w="2835" w:type="dxa"/>
            <w:vAlign w:val="center"/>
          </w:tcPr>
          <w:p>
            <w:pPr>
              <w:pStyle w:val="26"/>
              <w:rPr>
                <w:highlight w:val="none"/>
              </w:rPr>
            </w:pPr>
            <w:r>
              <w:rPr>
                <w:highlight w:val="none"/>
              </w:rPr>
              <w:t>保障1人</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质量指标</w:t>
            </w:r>
          </w:p>
        </w:tc>
        <w:tc>
          <w:tcPr>
            <w:tcW w:w="2835" w:type="dxa"/>
            <w:vAlign w:val="center"/>
          </w:tcPr>
          <w:p>
            <w:pPr>
              <w:pStyle w:val="26"/>
              <w:rPr>
                <w:highlight w:val="none"/>
              </w:rPr>
            </w:pPr>
            <w:r>
              <w:rPr>
                <w:highlight w:val="none"/>
              </w:rPr>
              <w:t>资金支付率</w:t>
            </w:r>
          </w:p>
        </w:tc>
        <w:tc>
          <w:tcPr>
            <w:tcW w:w="2835" w:type="dxa"/>
            <w:vAlign w:val="center"/>
          </w:tcPr>
          <w:p>
            <w:pPr>
              <w:pStyle w:val="26"/>
              <w:rPr>
                <w:highlight w:val="none"/>
              </w:rPr>
            </w:pPr>
            <w:r>
              <w:rPr>
                <w:highlight w:val="none"/>
              </w:rPr>
              <w:t>足额及时使用资金</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时效指标</w:t>
            </w:r>
          </w:p>
        </w:tc>
        <w:tc>
          <w:tcPr>
            <w:tcW w:w="2835" w:type="dxa"/>
            <w:vAlign w:val="center"/>
          </w:tcPr>
          <w:p>
            <w:pPr>
              <w:pStyle w:val="26"/>
              <w:rPr>
                <w:highlight w:val="none"/>
              </w:rPr>
            </w:pPr>
            <w:r>
              <w:rPr>
                <w:highlight w:val="none"/>
              </w:rPr>
              <w:t>及时发放</w:t>
            </w:r>
          </w:p>
        </w:tc>
        <w:tc>
          <w:tcPr>
            <w:tcW w:w="2835" w:type="dxa"/>
            <w:vAlign w:val="center"/>
          </w:tcPr>
          <w:p>
            <w:pPr>
              <w:pStyle w:val="26"/>
              <w:rPr>
                <w:highlight w:val="none"/>
              </w:rPr>
            </w:pPr>
            <w:r>
              <w:rPr>
                <w:highlight w:val="none"/>
              </w:rPr>
              <w:t>及时发放到位</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成本指标</w:t>
            </w:r>
          </w:p>
        </w:tc>
        <w:tc>
          <w:tcPr>
            <w:tcW w:w="2835" w:type="dxa"/>
            <w:vAlign w:val="center"/>
          </w:tcPr>
          <w:p>
            <w:pPr>
              <w:pStyle w:val="26"/>
              <w:rPr>
                <w:highlight w:val="none"/>
              </w:rPr>
            </w:pPr>
            <w:r>
              <w:rPr>
                <w:highlight w:val="none"/>
              </w:rPr>
              <w:t>预算控制数</w:t>
            </w:r>
          </w:p>
        </w:tc>
        <w:tc>
          <w:tcPr>
            <w:tcW w:w="2835" w:type="dxa"/>
            <w:vAlign w:val="center"/>
          </w:tcPr>
          <w:p>
            <w:pPr>
              <w:pStyle w:val="26"/>
              <w:rPr>
                <w:highlight w:val="none"/>
              </w:rPr>
            </w:pPr>
            <w:r>
              <w:rPr>
                <w:highlight w:val="none"/>
              </w:rPr>
              <w:t>预算控制数</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效益指标</w:t>
            </w:r>
          </w:p>
        </w:tc>
        <w:tc>
          <w:tcPr>
            <w:tcW w:w="2268" w:type="dxa"/>
            <w:vAlign w:val="center"/>
          </w:tcPr>
          <w:p>
            <w:pPr>
              <w:pStyle w:val="26"/>
              <w:rPr>
                <w:highlight w:val="none"/>
              </w:rPr>
            </w:pPr>
            <w:r>
              <w:rPr>
                <w:highlight w:val="none"/>
              </w:rPr>
              <w:t>经济效益指标</w:t>
            </w:r>
          </w:p>
        </w:tc>
        <w:tc>
          <w:tcPr>
            <w:tcW w:w="2835" w:type="dxa"/>
            <w:vAlign w:val="center"/>
          </w:tcPr>
          <w:p>
            <w:pPr>
              <w:pStyle w:val="26"/>
              <w:rPr>
                <w:highlight w:val="none"/>
              </w:rPr>
            </w:pPr>
            <w:r>
              <w:rPr>
                <w:highlight w:val="none"/>
              </w:rPr>
              <w:t>提高工作效率</w:t>
            </w:r>
          </w:p>
        </w:tc>
        <w:tc>
          <w:tcPr>
            <w:tcW w:w="2835" w:type="dxa"/>
            <w:vAlign w:val="center"/>
          </w:tcPr>
          <w:p>
            <w:pPr>
              <w:pStyle w:val="26"/>
              <w:rPr>
                <w:highlight w:val="none"/>
              </w:rPr>
            </w:pPr>
            <w:r>
              <w:rPr>
                <w:highlight w:val="none"/>
              </w:rPr>
              <w:t>提高工作效率，增强服务能力</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社会效益指标</w:t>
            </w:r>
          </w:p>
        </w:tc>
        <w:tc>
          <w:tcPr>
            <w:tcW w:w="2835" w:type="dxa"/>
            <w:vAlign w:val="center"/>
          </w:tcPr>
          <w:p>
            <w:pPr>
              <w:pStyle w:val="26"/>
              <w:rPr>
                <w:highlight w:val="none"/>
              </w:rPr>
            </w:pPr>
            <w:r>
              <w:rPr>
                <w:highlight w:val="none"/>
              </w:rPr>
              <w:t>人员安心工作</w:t>
            </w:r>
          </w:p>
        </w:tc>
        <w:tc>
          <w:tcPr>
            <w:tcW w:w="2835" w:type="dxa"/>
            <w:vAlign w:val="center"/>
          </w:tcPr>
          <w:p>
            <w:pPr>
              <w:pStyle w:val="26"/>
              <w:rPr>
                <w:highlight w:val="none"/>
              </w:rPr>
            </w:pPr>
            <w:r>
              <w:rPr>
                <w:highlight w:val="none"/>
              </w:rPr>
              <w:t>人员安心工作，生活有保障</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生态效益指标</w:t>
            </w:r>
          </w:p>
        </w:tc>
        <w:tc>
          <w:tcPr>
            <w:tcW w:w="2835" w:type="dxa"/>
            <w:vAlign w:val="center"/>
          </w:tcPr>
          <w:p>
            <w:pPr>
              <w:pStyle w:val="26"/>
              <w:rPr>
                <w:highlight w:val="none"/>
              </w:rPr>
            </w:pPr>
            <w:r>
              <w:rPr>
                <w:highlight w:val="none"/>
              </w:rPr>
              <w:t>维护生态文明</w:t>
            </w:r>
          </w:p>
        </w:tc>
        <w:tc>
          <w:tcPr>
            <w:tcW w:w="2835" w:type="dxa"/>
            <w:vAlign w:val="center"/>
          </w:tcPr>
          <w:p>
            <w:pPr>
              <w:pStyle w:val="26"/>
              <w:rPr>
                <w:highlight w:val="none"/>
              </w:rPr>
            </w:pPr>
            <w:r>
              <w:rPr>
                <w:highlight w:val="none"/>
              </w:rPr>
              <w:t>维护生态文明</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可持续影响指标</w:t>
            </w:r>
          </w:p>
        </w:tc>
        <w:tc>
          <w:tcPr>
            <w:tcW w:w="2835" w:type="dxa"/>
            <w:vAlign w:val="center"/>
          </w:tcPr>
          <w:p>
            <w:pPr>
              <w:pStyle w:val="26"/>
              <w:rPr>
                <w:highlight w:val="none"/>
              </w:rPr>
            </w:pPr>
            <w:r>
              <w:rPr>
                <w:highlight w:val="none"/>
              </w:rPr>
              <w:t>维护社会稳定</w:t>
            </w:r>
          </w:p>
        </w:tc>
        <w:tc>
          <w:tcPr>
            <w:tcW w:w="2835" w:type="dxa"/>
            <w:vAlign w:val="center"/>
          </w:tcPr>
          <w:p>
            <w:pPr>
              <w:pStyle w:val="26"/>
              <w:rPr>
                <w:highlight w:val="none"/>
              </w:rPr>
            </w:pPr>
            <w:r>
              <w:rPr>
                <w:highlight w:val="none"/>
              </w:rPr>
              <w:t>维护社会稳定</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highlight w:val="none"/>
              </w:rPr>
            </w:pPr>
            <w:r>
              <w:rPr>
                <w:highlight w:val="none"/>
              </w:rPr>
              <w:t>满意度指标</w:t>
            </w:r>
          </w:p>
        </w:tc>
        <w:tc>
          <w:tcPr>
            <w:tcW w:w="2268" w:type="dxa"/>
            <w:vAlign w:val="center"/>
          </w:tcPr>
          <w:p>
            <w:pPr>
              <w:pStyle w:val="26"/>
              <w:rPr>
                <w:highlight w:val="none"/>
              </w:rPr>
            </w:pPr>
            <w:r>
              <w:rPr>
                <w:highlight w:val="none"/>
              </w:rPr>
              <w:t>服务对象满意度指标</w:t>
            </w:r>
          </w:p>
        </w:tc>
        <w:tc>
          <w:tcPr>
            <w:tcW w:w="2835" w:type="dxa"/>
            <w:vAlign w:val="center"/>
          </w:tcPr>
          <w:p>
            <w:pPr>
              <w:pStyle w:val="26"/>
              <w:rPr>
                <w:highlight w:val="none"/>
              </w:rPr>
            </w:pPr>
            <w:r>
              <w:rPr>
                <w:highlight w:val="none"/>
              </w:rPr>
              <w:t>服务对象满意度</w:t>
            </w:r>
          </w:p>
        </w:tc>
        <w:tc>
          <w:tcPr>
            <w:tcW w:w="2835" w:type="dxa"/>
            <w:vAlign w:val="center"/>
          </w:tcPr>
          <w:p>
            <w:pPr>
              <w:pStyle w:val="26"/>
              <w:rPr>
                <w:highlight w:val="none"/>
              </w:rPr>
            </w:pPr>
            <w:r>
              <w:rPr>
                <w:highlight w:val="none"/>
              </w:rPr>
              <w:t>服务对象满意度提升</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bl>
    <w:p>
      <w:pPr>
        <w:pStyle w:val="24"/>
        <w:rPr>
          <w:highlight w:val="none"/>
        </w:rPr>
      </w:pPr>
    </w:p>
    <w:p>
      <w:pPr>
        <w:pStyle w:val="24"/>
        <w:ind w:firstLine="560"/>
        <w:rPr>
          <w:highlight w:val="none"/>
        </w:rPr>
      </w:pPr>
      <w:r>
        <w:rPr>
          <w:rFonts w:ascii="方正仿宋_GBK" w:hAnsi="方正仿宋_GBK" w:eastAsia="方正仿宋_GBK" w:cs="方正仿宋_GBK"/>
          <w:b/>
          <w:color w:val="000000"/>
          <w:sz w:val="28"/>
          <w:highlight w:val="none"/>
        </w:rPr>
        <w:t>3、物资局解决遗留问题绩效目标表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highlight w:val="none"/>
              </w:rPr>
            </w:pPr>
            <w:r>
              <w:rPr>
                <w:highlight w:val="none"/>
              </w:rPr>
              <w:t>绩效目标</w:t>
            </w:r>
          </w:p>
        </w:tc>
        <w:tc>
          <w:tcPr>
            <w:tcW w:w="12756" w:type="dxa"/>
            <w:tcBorders>
              <w:bottom w:val="single" w:color="FFFFFF" w:sz="6" w:space="0"/>
            </w:tcBorders>
            <w:vAlign w:val="center"/>
          </w:tcPr>
          <w:p>
            <w:pPr>
              <w:pStyle w:val="26"/>
              <w:rPr>
                <w:highlight w:val="none"/>
              </w:rPr>
            </w:pPr>
            <w:r>
              <w:rPr>
                <w:highlight w:val="none"/>
              </w:rPr>
              <w:t>1.做好下岗职工的思想工作，确保社会和谐队伍稳定</w:t>
            </w:r>
          </w:p>
          <w:p>
            <w:pPr>
              <w:pStyle w:val="26"/>
              <w:rPr>
                <w:highlight w:val="none"/>
              </w:rPr>
            </w:pPr>
            <w:r>
              <w:rPr>
                <w:highlight w:val="none"/>
              </w:rPr>
              <w:t>2.从维护改革发展大局出发，逐步解决遗留问题</w:t>
            </w:r>
          </w:p>
          <w:p>
            <w:pPr>
              <w:pStyle w:val="26"/>
              <w:rPr>
                <w:highlight w:val="none"/>
              </w:rPr>
            </w:pPr>
            <w:r>
              <w:rPr>
                <w:highlight w:val="none"/>
              </w:rPr>
              <w:t>3.资金及时到位</w:t>
            </w:r>
          </w:p>
        </w:tc>
      </w:tr>
    </w:tbl>
    <w:p>
      <w:pPr>
        <w:pStyle w:val="24"/>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highlight w:val="none"/>
              </w:rPr>
            </w:pPr>
            <w:r>
              <w:rPr>
                <w:highlight w:val="none"/>
              </w:rPr>
              <w:t>一级指标</w:t>
            </w:r>
          </w:p>
        </w:tc>
        <w:tc>
          <w:tcPr>
            <w:tcW w:w="2268" w:type="dxa"/>
            <w:vAlign w:val="center"/>
          </w:tcPr>
          <w:p>
            <w:pPr>
              <w:pStyle w:val="25"/>
              <w:rPr>
                <w:highlight w:val="none"/>
              </w:rPr>
            </w:pPr>
            <w:r>
              <w:rPr>
                <w:highlight w:val="none"/>
              </w:rPr>
              <w:t>二级指标</w:t>
            </w:r>
          </w:p>
        </w:tc>
        <w:tc>
          <w:tcPr>
            <w:tcW w:w="2835" w:type="dxa"/>
            <w:vAlign w:val="center"/>
          </w:tcPr>
          <w:p>
            <w:pPr>
              <w:pStyle w:val="25"/>
              <w:rPr>
                <w:highlight w:val="none"/>
              </w:rPr>
            </w:pPr>
            <w:r>
              <w:rPr>
                <w:highlight w:val="none"/>
              </w:rPr>
              <w:t>三级指标</w:t>
            </w:r>
          </w:p>
        </w:tc>
        <w:tc>
          <w:tcPr>
            <w:tcW w:w="2835" w:type="dxa"/>
            <w:vAlign w:val="center"/>
          </w:tcPr>
          <w:p>
            <w:pPr>
              <w:pStyle w:val="25"/>
              <w:rPr>
                <w:highlight w:val="none"/>
              </w:rPr>
            </w:pPr>
            <w:r>
              <w:rPr>
                <w:highlight w:val="none"/>
              </w:rPr>
              <w:t>绩效指标描述</w:t>
            </w:r>
          </w:p>
        </w:tc>
        <w:tc>
          <w:tcPr>
            <w:tcW w:w="2551" w:type="dxa"/>
            <w:vAlign w:val="center"/>
          </w:tcPr>
          <w:p>
            <w:pPr>
              <w:pStyle w:val="25"/>
              <w:rPr>
                <w:highlight w:val="none"/>
              </w:rPr>
            </w:pPr>
            <w:r>
              <w:rPr>
                <w:highlight w:val="none"/>
              </w:rPr>
              <w:t>指标值</w:t>
            </w:r>
          </w:p>
        </w:tc>
        <w:tc>
          <w:tcPr>
            <w:tcW w:w="2268" w:type="dxa"/>
            <w:vAlign w:val="center"/>
          </w:tcPr>
          <w:p>
            <w:pPr>
              <w:pStyle w:val="25"/>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产出指标</w:t>
            </w:r>
          </w:p>
        </w:tc>
        <w:tc>
          <w:tcPr>
            <w:tcW w:w="2268" w:type="dxa"/>
            <w:vAlign w:val="center"/>
          </w:tcPr>
          <w:p>
            <w:pPr>
              <w:pStyle w:val="26"/>
              <w:rPr>
                <w:highlight w:val="none"/>
              </w:rPr>
            </w:pPr>
            <w:r>
              <w:rPr>
                <w:highlight w:val="none"/>
              </w:rPr>
              <w:t>数量指标</w:t>
            </w:r>
          </w:p>
        </w:tc>
        <w:tc>
          <w:tcPr>
            <w:tcW w:w="2835" w:type="dxa"/>
            <w:vAlign w:val="center"/>
          </w:tcPr>
          <w:p>
            <w:pPr>
              <w:pStyle w:val="26"/>
              <w:rPr>
                <w:highlight w:val="none"/>
              </w:rPr>
            </w:pPr>
            <w:r>
              <w:rPr>
                <w:highlight w:val="none"/>
              </w:rPr>
              <w:t>保障人数</w:t>
            </w:r>
          </w:p>
        </w:tc>
        <w:tc>
          <w:tcPr>
            <w:tcW w:w="2835" w:type="dxa"/>
            <w:vAlign w:val="center"/>
          </w:tcPr>
          <w:p>
            <w:pPr>
              <w:pStyle w:val="26"/>
              <w:rPr>
                <w:highlight w:val="none"/>
              </w:rPr>
            </w:pPr>
            <w:r>
              <w:rPr>
                <w:highlight w:val="none"/>
              </w:rPr>
              <w:t>合理的解决诉求</w:t>
            </w:r>
          </w:p>
        </w:tc>
        <w:tc>
          <w:tcPr>
            <w:tcW w:w="2551" w:type="dxa"/>
            <w:vAlign w:val="center"/>
          </w:tcPr>
          <w:p>
            <w:pPr>
              <w:pStyle w:val="26"/>
              <w:rPr>
                <w:highlight w:val="none"/>
              </w:rPr>
            </w:pPr>
            <w:r>
              <w:rPr>
                <w:highlight w:val="none"/>
              </w:rPr>
              <w:t>≥95百分比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质量指标</w:t>
            </w:r>
          </w:p>
        </w:tc>
        <w:tc>
          <w:tcPr>
            <w:tcW w:w="2835" w:type="dxa"/>
            <w:vAlign w:val="center"/>
          </w:tcPr>
          <w:p>
            <w:pPr>
              <w:pStyle w:val="26"/>
              <w:rPr>
                <w:highlight w:val="none"/>
              </w:rPr>
            </w:pPr>
            <w:r>
              <w:rPr>
                <w:highlight w:val="none"/>
              </w:rPr>
              <w:t>完成率</w:t>
            </w:r>
          </w:p>
        </w:tc>
        <w:tc>
          <w:tcPr>
            <w:tcW w:w="2835" w:type="dxa"/>
            <w:vAlign w:val="center"/>
          </w:tcPr>
          <w:p>
            <w:pPr>
              <w:pStyle w:val="26"/>
              <w:rPr>
                <w:highlight w:val="none"/>
              </w:rPr>
            </w:pPr>
            <w:r>
              <w:rPr>
                <w:highlight w:val="none"/>
              </w:rPr>
              <w:t>资金的使用率</w:t>
            </w:r>
          </w:p>
        </w:tc>
        <w:tc>
          <w:tcPr>
            <w:tcW w:w="2551" w:type="dxa"/>
            <w:vAlign w:val="center"/>
          </w:tcPr>
          <w:p>
            <w:pPr>
              <w:pStyle w:val="26"/>
              <w:rPr>
                <w:highlight w:val="none"/>
              </w:rPr>
            </w:pPr>
            <w:r>
              <w:rPr>
                <w:highlight w:val="none"/>
              </w:rPr>
              <w:t>≥95百分比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时效指标</w:t>
            </w:r>
          </w:p>
        </w:tc>
        <w:tc>
          <w:tcPr>
            <w:tcW w:w="2835" w:type="dxa"/>
            <w:vAlign w:val="center"/>
          </w:tcPr>
          <w:p>
            <w:pPr>
              <w:pStyle w:val="26"/>
              <w:rPr>
                <w:highlight w:val="none"/>
              </w:rPr>
            </w:pPr>
            <w:r>
              <w:rPr>
                <w:highlight w:val="none"/>
              </w:rPr>
              <w:t>资金支付及时性</w:t>
            </w:r>
          </w:p>
        </w:tc>
        <w:tc>
          <w:tcPr>
            <w:tcW w:w="2835" w:type="dxa"/>
            <w:vAlign w:val="center"/>
          </w:tcPr>
          <w:p>
            <w:pPr>
              <w:pStyle w:val="26"/>
              <w:rPr>
                <w:highlight w:val="none"/>
              </w:rPr>
            </w:pPr>
            <w:r>
              <w:rPr>
                <w:highlight w:val="none"/>
              </w:rPr>
              <w:t>资金支付及时程度</w:t>
            </w:r>
          </w:p>
        </w:tc>
        <w:tc>
          <w:tcPr>
            <w:tcW w:w="2551" w:type="dxa"/>
            <w:vAlign w:val="center"/>
          </w:tcPr>
          <w:p>
            <w:pPr>
              <w:pStyle w:val="26"/>
              <w:rPr>
                <w:highlight w:val="none"/>
              </w:rPr>
            </w:pPr>
            <w:r>
              <w:rPr>
                <w:highlight w:val="none"/>
              </w:rPr>
              <w:t>≥95百分比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成本指标</w:t>
            </w:r>
          </w:p>
        </w:tc>
        <w:tc>
          <w:tcPr>
            <w:tcW w:w="2835" w:type="dxa"/>
            <w:vAlign w:val="center"/>
          </w:tcPr>
          <w:p>
            <w:pPr>
              <w:pStyle w:val="26"/>
              <w:rPr>
                <w:highlight w:val="none"/>
              </w:rPr>
            </w:pPr>
            <w:r>
              <w:rPr>
                <w:highlight w:val="none"/>
              </w:rPr>
              <w:t>预算控制数</w:t>
            </w:r>
          </w:p>
        </w:tc>
        <w:tc>
          <w:tcPr>
            <w:tcW w:w="2835" w:type="dxa"/>
            <w:vAlign w:val="center"/>
          </w:tcPr>
          <w:p>
            <w:pPr>
              <w:pStyle w:val="26"/>
              <w:rPr>
                <w:highlight w:val="none"/>
              </w:rPr>
            </w:pPr>
            <w:r>
              <w:rPr>
                <w:highlight w:val="none"/>
              </w:rPr>
              <w:t>财政预算资金合理使用</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效益指标</w:t>
            </w:r>
          </w:p>
        </w:tc>
        <w:tc>
          <w:tcPr>
            <w:tcW w:w="2268" w:type="dxa"/>
            <w:vAlign w:val="center"/>
          </w:tcPr>
          <w:p>
            <w:pPr>
              <w:pStyle w:val="26"/>
              <w:rPr>
                <w:highlight w:val="none"/>
              </w:rPr>
            </w:pPr>
            <w:r>
              <w:rPr>
                <w:highlight w:val="none"/>
              </w:rPr>
              <w:t>经济效益指标</w:t>
            </w:r>
          </w:p>
        </w:tc>
        <w:tc>
          <w:tcPr>
            <w:tcW w:w="2835" w:type="dxa"/>
            <w:vAlign w:val="center"/>
          </w:tcPr>
          <w:p>
            <w:pPr>
              <w:pStyle w:val="26"/>
              <w:rPr>
                <w:highlight w:val="none"/>
              </w:rPr>
            </w:pPr>
            <w:r>
              <w:rPr>
                <w:highlight w:val="none"/>
              </w:rPr>
              <w:t>提高工作效率</w:t>
            </w:r>
          </w:p>
        </w:tc>
        <w:tc>
          <w:tcPr>
            <w:tcW w:w="2835" w:type="dxa"/>
            <w:vAlign w:val="center"/>
          </w:tcPr>
          <w:p>
            <w:pPr>
              <w:pStyle w:val="26"/>
              <w:rPr>
                <w:highlight w:val="none"/>
              </w:rPr>
            </w:pPr>
            <w:r>
              <w:rPr>
                <w:highlight w:val="none"/>
              </w:rPr>
              <w:t>正常运转，提高工作效率</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社会效益指标</w:t>
            </w:r>
          </w:p>
        </w:tc>
        <w:tc>
          <w:tcPr>
            <w:tcW w:w="2835" w:type="dxa"/>
            <w:vAlign w:val="center"/>
          </w:tcPr>
          <w:p>
            <w:pPr>
              <w:pStyle w:val="26"/>
              <w:rPr>
                <w:highlight w:val="none"/>
              </w:rPr>
            </w:pPr>
            <w:r>
              <w:rPr>
                <w:highlight w:val="none"/>
              </w:rPr>
              <w:t>社会稳定水平</w:t>
            </w:r>
          </w:p>
        </w:tc>
        <w:tc>
          <w:tcPr>
            <w:tcW w:w="2835" w:type="dxa"/>
            <w:vAlign w:val="center"/>
          </w:tcPr>
          <w:p>
            <w:pPr>
              <w:pStyle w:val="26"/>
              <w:rPr>
                <w:highlight w:val="none"/>
              </w:rPr>
            </w:pPr>
            <w:r>
              <w:rPr>
                <w:highlight w:val="none"/>
              </w:rPr>
              <w:t>社会稳定水平提高</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生态效益指标</w:t>
            </w:r>
          </w:p>
        </w:tc>
        <w:tc>
          <w:tcPr>
            <w:tcW w:w="2835" w:type="dxa"/>
            <w:vAlign w:val="center"/>
          </w:tcPr>
          <w:p>
            <w:pPr>
              <w:pStyle w:val="26"/>
              <w:rPr>
                <w:highlight w:val="none"/>
              </w:rPr>
            </w:pPr>
            <w:r>
              <w:rPr>
                <w:highlight w:val="none"/>
              </w:rPr>
              <w:t>促进生态文明建设</w:t>
            </w:r>
          </w:p>
        </w:tc>
        <w:tc>
          <w:tcPr>
            <w:tcW w:w="2835" w:type="dxa"/>
            <w:vAlign w:val="center"/>
          </w:tcPr>
          <w:p>
            <w:pPr>
              <w:pStyle w:val="26"/>
              <w:rPr>
                <w:highlight w:val="none"/>
              </w:rPr>
            </w:pPr>
            <w:r>
              <w:rPr>
                <w:highlight w:val="none"/>
              </w:rPr>
              <w:t>促进生态文明建设，促进绿色发展</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可持续影响指标</w:t>
            </w:r>
          </w:p>
        </w:tc>
        <w:tc>
          <w:tcPr>
            <w:tcW w:w="2835" w:type="dxa"/>
            <w:vAlign w:val="center"/>
          </w:tcPr>
          <w:p>
            <w:pPr>
              <w:pStyle w:val="26"/>
              <w:rPr>
                <w:highlight w:val="none"/>
              </w:rPr>
            </w:pPr>
            <w:r>
              <w:rPr>
                <w:highlight w:val="none"/>
              </w:rPr>
              <w:t>维护社会稳定</w:t>
            </w:r>
          </w:p>
        </w:tc>
        <w:tc>
          <w:tcPr>
            <w:tcW w:w="2835" w:type="dxa"/>
            <w:vAlign w:val="center"/>
          </w:tcPr>
          <w:p>
            <w:pPr>
              <w:pStyle w:val="26"/>
              <w:rPr>
                <w:highlight w:val="none"/>
              </w:rPr>
            </w:pPr>
            <w:r>
              <w:rPr>
                <w:highlight w:val="none"/>
              </w:rPr>
              <w:t>维护社会稳定，促进社会和谐发展</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highlight w:val="none"/>
              </w:rPr>
            </w:pPr>
            <w:r>
              <w:rPr>
                <w:highlight w:val="none"/>
              </w:rPr>
              <w:t>满意度指标</w:t>
            </w:r>
          </w:p>
        </w:tc>
        <w:tc>
          <w:tcPr>
            <w:tcW w:w="2268" w:type="dxa"/>
            <w:vAlign w:val="center"/>
          </w:tcPr>
          <w:p>
            <w:pPr>
              <w:pStyle w:val="26"/>
              <w:rPr>
                <w:highlight w:val="none"/>
              </w:rPr>
            </w:pPr>
            <w:r>
              <w:rPr>
                <w:highlight w:val="none"/>
              </w:rPr>
              <w:t>服务对象满意度指标</w:t>
            </w:r>
          </w:p>
        </w:tc>
        <w:tc>
          <w:tcPr>
            <w:tcW w:w="2835" w:type="dxa"/>
            <w:vAlign w:val="center"/>
          </w:tcPr>
          <w:p>
            <w:pPr>
              <w:pStyle w:val="26"/>
              <w:rPr>
                <w:highlight w:val="none"/>
              </w:rPr>
            </w:pPr>
            <w:r>
              <w:rPr>
                <w:highlight w:val="none"/>
              </w:rPr>
              <w:t>服务对象满意度</w:t>
            </w:r>
          </w:p>
        </w:tc>
        <w:tc>
          <w:tcPr>
            <w:tcW w:w="2835" w:type="dxa"/>
            <w:vAlign w:val="center"/>
          </w:tcPr>
          <w:p>
            <w:pPr>
              <w:pStyle w:val="26"/>
              <w:rPr>
                <w:highlight w:val="none"/>
              </w:rPr>
            </w:pPr>
            <w:r>
              <w:rPr>
                <w:highlight w:val="none"/>
              </w:rPr>
              <w:t>服务对象满意度提升</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bl>
    <w:p>
      <w:pPr>
        <w:pStyle w:val="24"/>
        <w:rPr>
          <w:highlight w:val="none"/>
        </w:rPr>
      </w:pPr>
    </w:p>
    <w:p>
      <w:pPr>
        <w:pStyle w:val="24"/>
        <w:ind w:firstLine="560"/>
        <w:rPr>
          <w:highlight w:val="none"/>
        </w:rPr>
      </w:pPr>
      <w:r>
        <w:rPr>
          <w:rFonts w:ascii="方正仿宋_GBK" w:hAnsi="方正仿宋_GBK" w:eastAsia="方正仿宋_GBK" w:cs="方正仿宋_GBK"/>
          <w:b/>
          <w:color w:val="000000"/>
          <w:sz w:val="28"/>
          <w:highlight w:val="none"/>
        </w:rPr>
        <w:t>4、一般人员定额补贴绩效目标表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rPr>
                <w:highlight w:val="none"/>
              </w:rPr>
            </w:pPr>
            <w:r>
              <w:rPr>
                <w:highlight w:val="none"/>
              </w:rPr>
              <w:t>绩效目标</w:t>
            </w:r>
          </w:p>
        </w:tc>
        <w:tc>
          <w:tcPr>
            <w:tcW w:w="12756" w:type="dxa"/>
            <w:tcBorders>
              <w:bottom w:val="single" w:color="FFFFFF" w:sz="6" w:space="0"/>
            </w:tcBorders>
            <w:vAlign w:val="center"/>
          </w:tcPr>
          <w:p>
            <w:pPr>
              <w:pStyle w:val="26"/>
              <w:rPr>
                <w:highlight w:val="none"/>
              </w:rPr>
            </w:pPr>
            <w:r>
              <w:rPr>
                <w:highlight w:val="none"/>
              </w:rPr>
              <w:t>1.坚强机关建设，做好下岗职工的思想工作，确保社会和谐与队伍稳定</w:t>
            </w:r>
          </w:p>
          <w:p>
            <w:pPr>
              <w:pStyle w:val="26"/>
              <w:rPr>
                <w:highlight w:val="none"/>
              </w:rPr>
            </w:pPr>
            <w:r>
              <w:rPr>
                <w:highlight w:val="none"/>
              </w:rPr>
              <w:t>2.逐步解决物资系统遗留问题</w:t>
            </w:r>
          </w:p>
          <w:p>
            <w:pPr>
              <w:pStyle w:val="26"/>
              <w:rPr>
                <w:highlight w:val="none"/>
              </w:rPr>
            </w:pPr>
            <w:r>
              <w:rPr>
                <w:highlight w:val="none"/>
              </w:rPr>
              <w:t>3.人员工资按时足额发放</w:t>
            </w:r>
          </w:p>
        </w:tc>
      </w:tr>
    </w:tbl>
    <w:p>
      <w:pPr>
        <w:pStyle w:val="24"/>
        <w:spacing w:line="2" w:lineRule="exact"/>
        <w:jc w:val="center"/>
        <w:rPr>
          <w:highlight w:val="none"/>
        </w:rPr>
      </w:pPr>
      <w:r>
        <w:rPr>
          <w:rFonts w:ascii="方正书宋_GBK" w:hAnsi="方正书宋_GBK" w:eastAsia="方正书宋_GBK" w:cs="方正书宋_GBK"/>
          <w:color w:val="000000"/>
          <w:sz w:val="18"/>
          <w:highlight w:val="none"/>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rPr>
                <w:highlight w:val="none"/>
              </w:rPr>
            </w:pPr>
            <w:r>
              <w:rPr>
                <w:highlight w:val="none"/>
              </w:rPr>
              <w:t>一级指标</w:t>
            </w:r>
          </w:p>
        </w:tc>
        <w:tc>
          <w:tcPr>
            <w:tcW w:w="2268" w:type="dxa"/>
            <w:vAlign w:val="center"/>
          </w:tcPr>
          <w:p>
            <w:pPr>
              <w:pStyle w:val="25"/>
              <w:rPr>
                <w:highlight w:val="none"/>
              </w:rPr>
            </w:pPr>
            <w:r>
              <w:rPr>
                <w:highlight w:val="none"/>
              </w:rPr>
              <w:t>二级指标</w:t>
            </w:r>
          </w:p>
        </w:tc>
        <w:tc>
          <w:tcPr>
            <w:tcW w:w="2835" w:type="dxa"/>
            <w:vAlign w:val="center"/>
          </w:tcPr>
          <w:p>
            <w:pPr>
              <w:pStyle w:val="25"/>
              <w:rPr>
                <w:highlight w:val="none"/>
              </w:rPr>
            </w:pPr>
            <w:r>
              <w:rPr>
                <w:highlight w:val="none"/>
              </w:rPr>
              <w:t>三级指标</w:t>
            </w:r>
          </w:p>
        </w:tc>
        <w:tc>
          <w:tcPr>
            <w:tcW w:w="2835" w:type="dxa"/>
            <w:vAlign w:val="center"/>
          </w:tcPr>
          <w:p>
            <w:pPr>
              <w:pStyle w:val="25"/>
              <w:rPr>
                <w:highlight w:val="none"/>
              </w:rPr>
            </w:pPr>
            <w:r>
              <w:rPr>
                <w:highlight w:val="none"/>
              </w:rPr>
              <w:t>绩效指标描述</w:t>
            </w:r>
          </w:p>
        </w:tc>
        <w:tc>
          <w:tcPr>
            <w:tcW w:w="2551" w:type="dxa"/>
            <w:vAlign w:val="center"/>
          </w:tcPr>
          <w:p>
            <w:pPr>
              <w:pStyle w:val="25"/>
              <w:rPr>
                <w:highlight w:val="none"/>
              </w:rPr>
            </w:pPr>
            <w:r>
              <w:rPr>
                <w:highlight w:val="none"/>
              </w:rPr>
              <w:t>指标值</w:t>
            </w:r>
          </w:p>
        </w:tc>
        <w:tc>
          <w:tcPr>
            <w:tcW w:w="2268" w:type="dxa"/>
            <w:vAlign w:val="center"/>
          </w:tcPr>
          <w:p>
            <w:pPr>
              <w:pStyle w:val="25"/>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产出指标</w:t>
            </w:r>
          </w:p>
        </w:tc>
        <w:tc>
          <w:tcPr>
            <w:tcW w:w="2268" w:type="dxa"/>
            <w:vAlign w:val="center"/>
          </w:tcPr>
          <w:p>
            <w:pPr>
              <w:pStyle w:val="26"/>
              <w:rPr>
                <w:highlight w:val="none"/>
              </w:rPr>
            </w:pPr>
            <w:r>
              <w:rPr>
                <w:highlight w:val="none"/>
              </w:rPr>
              <w:t>数量指标</w:t>
            </w:r>
          </w:p>
        </w:tc>
        <w:tc>
          <w:tcPr>
            <w:tcW w:w="2835" w:type="dxa"/>
            <w:vAlign w:val="center"/>
          </w:tcPr>
          <w:p>
            <w:pPr>
              <w:pStyle w:val="26"/>
              <w:rPr>
                <w:highlight w:val="none"/>
              </w:rPr>
            </w:pPr>
            <w:r>
              <w:rPr>
                <w:highlight w:val="none"/>
              </w:rPr>
              <w:t>保障人数</w:t>
            </w:r>
          </w:p>
        </w:tc>
        <w:tc>
          <w:tcPr>
            <w:tcW w:w="2835" w:type="dxa"/>
            <w:vAlign w:val="center"/>
          </w:tcPr>
          <w:p>
            <w:pPr>
              <w:pStyle w:val="26"/>
              <w:rPr>
                <w:highlight w:val="none"/>
              </w:rPr>
            </w:pPr>
            <w:r>
              <w:rPr>
                <w:highlight w:val="none"/>
              </w:rPr>
              <w:t>保障全员工资福利</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质量指标</w:t>
            </w:r>
          </w:p>
        </w:tc>
        <w:tc>
          <w:tcPr>
            <w:tcW w:w="2835" w:type="dxa"/>
            <w:vAlign w:val="center"/>
          </w:tcPr>
          <w:p>
            <w:pPr>
              <w:pStyle w:val="26"/>
              <w:rPr>
                <w:highlight w:val="none"/>
              </w:rPr>
            </w:pPr>
            <w:r>
              <w:rPr>
                <w:highlight w:val="none"/>
              </w:rPr>
              <w:t>完成率</w:t>
            </w:r>
          </w:p>
        </w:tc>
        <w:tc>
          <w:tcPr>
            <w:tcW w:w="2835" w:type="dxa"/>
            <w:vAlign w:val="center"/>
          </w:tcPr>
          <w:p>
            <w:pPr>
              <w:pStyle w:val="26"/>
              <w:rPr>
                <w:highlight w:val="none"/>
              </w:rPr>
            </w:pPr>
            <w:r>
              <w:rPr>
                <w:highlight w:val="none"/>
              </w:rPr>
              <w:t>资金使用率</w:t>
            </w:r>
          </w:p>
        </w:tc>
        <w:tc>
          <w:tcPr>
            <w:tcW w:w="2551" w:type="dxa"/>
            <w:vAlign w:val="center"/>
          </w:tcPr>
          <w:p>
            <w:pPr>
              <w:pStyle w:val="26"/>
              <w:rPr>
                <w:highlight w:val="none"/>
              </w:rPr>
            </w:pPr>
            <w:r>
              <w:rPr>
                <w:highlight w:val="none"/>
              </w:rPr>
              <w:t>≥95百分比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时效指标</w:t>
            </w:r>
          </w:p>
        </w:tc>
        <w:tc>
          <w:tcPr>
            <w:tcW w:w="2835" w:type="dxa"/>
            <w:vAlign w:val="center"/>
          </w:tcPr>
          <w:p>
            <w:pPr>
              <w:pStyle w:val="26"/>
              <w:rPr>
                <w:highlight w:val="none"/>
              </w:rPr>
            </w:pPr>
            <w:r>
              <w:rPr>
                <w:highlight w:val="none"/>
              </w:rPr>
              <w:t>及时完成</w:t>
            </w:r>
          </w:p>
        </w:tc>
        <w:tc>
          <w:tcPr>
            <w:tcW w:w="2835" w:type="dxa"/>
            <w:vAlign w:val="center"/>
          </w:tcPr>
          <w:p>
            <w:pPr>
              <w:pStyle w:val="26"/>
              <w:rPr>
                <w:highlight w:val="none"/>
              </w:rPr>
            </w:pPr>
            <w:r>
              <w:rPr>
                <w:highlight w:val="none"/>
              </w:rPr>
              <w:t>及时完成</w:t>
            </w:r>
          </w:p>
        </w:tc>
        <w:tc>
          <w:tcPr>
            <w:tcW w:w="2551" w:type="dxa"/>
            <w:vAlign w:val="center"/>
          </w:tcPr>
          <w:p>
            <w:pPr>
              <w:pStyle w:val="26"/>
              <w:rPr>
                <w:highlight w:val="none"/>
              </w:rPr>
            </w:pPr>
            <w:r>
              <w:rPr>
                <w:highlight w:val="none"/>
              </w:rPr>
              <w:t>≥95百分比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成本指标</w:t>
            </w:r>
          </w:p>
        </w:tc>
        <w:tc>
          <w:tcPr>
            <w:tcW w:w="2835" w:type="dxa"/>
            <w:vAlign w:val="center"/>
          </w:tcPr>
          <w:p>
            <w:pPr>
              <w:pStyle w:val="26"/>
              <w:rPr>
                <w:highlight w:val="none"/>
              </w:rPr>
            </w:pPr>
            <w:r>
              <w:rPr>
                <w:highlight w:val="none"/>
              </w:rPr>
              <w:t>预算控制数</w:t>
            </w:r>
          </w:p>
        </w:tc>
        <w:tc>
          <w:tcPr>
            <w:tcW w:w="2835" w:type="dxa"/>
            <w:vAlign w:val="center"/>
          </w:tcPr>
          <w:p>
            <w:pPr>
              <w:pStyle w:val="26"/>
              <w:rPr>
                <w:highlight w:val="none"/>
              </w:rPr>
            </w:pPr>
            <w:r>
              <w:rPr>
                <w:highlight w:val="none"/>
              </w:rPr>
              <w:t>财政预算资金合理使用</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rPr>
                <w:highlight w:val="none"/>
              </w:rPr>
            </w:pPr>
            <w:r>
              <w:rPr>
                <w:highlight w:val="none"/>
              </w:rPr>
              <w:t>效益指标</w:t>
            </w:r>
          </w:p>
        </w:tc>
        <w:tc>
          <w:tcPr>
            <w:tcW w:w="2268" w:type="dxa"/>
            <w:vAlign w:val="center"/>
          </w:tcPr>
          <w:p>
            <w:pPr>
              <w:pStyle w:val="26"/>
              <w:rPr>
                <w:highlight w:val="none"/>
              </w:rPr>
            </w:pPr>
            <w:r>
              <w:rPr>
                <w:highlight w:val="none"/>
              </w:rPr>
              <w:t>经济效益指标</w:t>
            </w:r>
          </w:p>
        </w:tc>
        <w:tc>
          <w:tcPr>
            <w:tcW w:w="2835" w:type="dxa"/>
            <w:vAlign w:val="center"/>
          </w:tcPr>
          <w:p>
            <w:pPr>
              <w:pStyle w:val="26"/>
              <w:rPr>
                <w:highlight w:val="none"/>
              </w:rPr>
            </w:pPr>
            <w:r>
              <w:rPr>
                <w:highlight w:val="none"/>
              </w:rPr>
              <w:t>提高工作效率</w:t>
            </w:r>
          </w:p>
        </w:tc>
        <w:tc>
          <w:tcPr>
            <w:tcW w:w="2835" w:type="dxa"/>
            <w:vAlign w:val="center"/>
          </w:tcPr>
          <w:p>
            <w:pPr>
              <w:pStyle w:val="26"/>
              <w:rPr>
                <w:highlight w:val="none"/>
              </w:rPr>
            </w:pPr>
            <w:r>
              <w:rPr>
                <w:highlight w:val="none"/>
              </w:rPr>
              <w:t>努力工作提高工作效率</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社会效益指标</w:t>
            </w:r>
          </w:p>
        </w:tc>
        <w:tc>
          <w:tcPr>
            <w:tcW w:w="2835" w:type="dxa"/>
            <w:vAlign w:val="center"/>
          </w:tcPr>
          <w:p>
            <w:pPr>
              <w:pStyle w:val="26"/>
              <w:rPr>
                <w:highlight w:val="none"/>
              </w:rPr>
            </w:pPr>
            <w:r>
              <w:rPr>
                <w:highlight w:val="none"/>
              </w:rPr>
              <w:t>人员安心工作</w:t>
            </w:r>
          </w:p>
        </w:tc>
        <w:tc>
          <w:tcPr>
            <w:tcW w:w="2835" w:type="dxa"/>
            <w:vAlign w:val="center"/>
          </w:tcPr>
          <w:p>
            <w:pPr>
              <w:pStyle w:val="26"/>
              <w:rPr>
                <w:highlight w:val="none"/>
              </w:rPr>
            </w:pPr>
            <w:r>
              <w:rPr>
                <w:highlight w:val="none"/>
              </w:rPr>
              <w:t>单位人员安心工作</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生态效益指标</w:t>
            </w:r>
          </w:p>
        </w:tc>
        <w:tc>
          <w:tcPr>
            <w:tcW w:w="2835" w:type="dxa"/>
            <w:vAlign w:val="center"/>
          </w:tcPr>
          <w:p>
            <w:pPr>
              <w:pStyle w:val="26"/>
              <w:rPr>
                <w:highlight w:val="none"/>
              </w:rPr>
            </w:pPr>
            <w:r>
              <w:rPr>
                <w:highlight w:val="none"/>
              </w:rPr>
              <w:t>维护生态文明</w:t>
            </w:r>
          </w:p>
        </w:tc>
        <w:tc>
          <w:tcPr>
            <w:tcW w:w="2835" w:type="dxa"/>
            <w:vAlign w:val="center"/>
          </w:tcPr>
          <w:p>
            <w:pPr>
              <w:pStyle w:val="26"/>
              <w:rPr>
                <w:highlight w:val="none"/>
              </w:rPr>
            </w:pPr>
            <w:r>
              <w:rPr>
                <w:highlight w:val="none"/>
              </w:rPr>
              <w:t>维护生态文明，推动绿色发展</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rPr>
                <w:highlight w:val="none"/>
              </w:rPr>
            </w:pPr>
          </w:p>
        </w:tc>
        <w:tc>
          <w:tcPr>
            <w:tcW w:w="2268" w:type="dxa"/>
            <w:vAlign w:val="center"/>
          </w:tcPr>
          <w:p>
            <w:pPr>
              <w:pStyle w:val="26"/>
              <w:rPr>
                <w:highlight w:val="none"/>
              </w:rPr>
            </w:pPr>
            <w:r>
              <w:rPr>
                <w:highlight w:val="none"/>
              </w:rPr>
              <w:t>可持续影响指标</w:t>
            </w:r>
          </w:p>
        </w:tc>
        <w:tc>
          <w:tcPr>
            <w:tcW w:w="2835" w:type="dxa"/>
            <w:vAlign w:val="center"/>
          </w:tcPr>
          <w:p>
            <w:pPr>
              <w:pStyle w:val="26"/>
              <w:rPr>
                <w:highlight w:val="none"/>
              </w:rPr>
            </w:pPr>
            <w:r>
              <w:rPr>
                <w:highlight w:val="none"/>
              </w:rPr>
              <w:t>促进社会和谐发展</w:t>
            </w:r>
          </w:p>
        </w:tc>
        <w:tc>
          <w:tcPr>
            <w:tcW w:w="2835" w:type="dxa"/>
            <w:vAlign w:val="center"/>
          </w:tcPr>
          <w:p>
            <w:pPr>
              <w:pStyle w:val="26"/>
              <w:rPr>
                <w:highlight w:val="none"/>
              </w:rPr>
            </w:pPr>
            <w:r>
              <w:rPr>
                <w:highlight w:val="none"/>
              </w:rPr>
              <w:t>促进社会和谐发展</w:t>
            </w:r>
          </w:p>
        </w:tc>
        <w:tc>
          <w:tcPr>
            <w:tcW w:w="2551" w:type="dxa"/>
            <w:vAlign w:val="center"/>
          </w:tcPr>
          <w:p>
            <w:pPr>
              <w:pStyle w:val="26"/>
              <w:rPr>
                <w:highlight w:val="none"/>
              </w:rPr>
            </w:pPr>
            <w:r>
              <w:rPr>
                <w:highlight w:val="none"/>
              </w:rPr>
              <w:t>100百分比</w:t>
            </w:r>
          </w:p>
        </w:tc>
        <w:tc>
          <w:tcPr>
            <w:tcW w:w="2268" w:type="dxa"/>
            <w:vAlign w:val="center"/>
          </w:tcPr>
          <w:p>
            <w:pPr>
              <w:pStyle w:val="26"/>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rPr>
                <w:highlight w:val="none"/>
              </w:rPr>
            </w:pPr>
            <w:r>
              <w:rPr>
                <w:highlight w:val="none"/>
              </w:rPr>
              <w:t>满意度指标</w:t>
            </w:r>
          </w:p>
        </w:tc>
        <w:tc>
          <w:tcPr>
            <w:tcW w:w="2268" w:type="dxa"/>
            <w:vAlign w:val="center"/>
          </w:tcPr>
          <w:p>
            <w:pPr>
              <w:pStyle w:val="26"/>
              <w:rPr>
                <w:highlight w:val="none"/>
              </w:rPr>
            </w:pPr>
            <w:r>
              <w:rPr>
                <w:highlight w:val="none"/>
              </w:rPr>
              <w:t>服务对象满意度指标</w:t>
            </w:r>
          </w:p>
        </w:tc>
        <w:tc>
          <w:tcPr>
            <w:tcW w:w="2835" w:type="dxa"/>
            <w:vAlign w:val="center"/>
          </w:tcPr>
          <w:p>
            <w:pPr>
              <w:pStyle w:val="26"/>
              <w:rPr>
                <w:highlight w:val="none"/>
              </w:rPr>
            </w:pPr>
            <w:r>
              <w:rPr>
                <w:highlight w:val="none"/>
              </w:rPr>
              <w:t>服务对象满意度</w:t>
            </w:r>
          </w:p>
        </w:tc>
        <w:tc>
          <w:tcPr>
            <w:tcW w:w="2835" w:type="dxa"/>
            <w:vAlign w:val="center"/>
          </w:tcPr>
          <w:p>
            <w:pPr>
              <w:pStyle w:val="26"/>
              <w:rPr>
                <w:highlight w:val="none"/>
              </w:rPr>
            </w:pPr>
            <w:r>
              <w:rPr>
                <w:highlight w:val="none"/>
              </w:rPr>
              <w:t>服务对象满意度提升</w:t>
            </w:r>
          </w:p>
        </w:tc>
        <w:tc>
          <w:tcPr>
            <w:tcW w:w="2551" w:type="dxa"/>
            <w:vAlign w:val="center"/>
          </w:tcPr>
          <w:p>
            <w:pPr>
              <w:pStyle w:val="26"/>
              <w:rPr>
                <w:highlight w:val="none"/>
              </w:rPr>
            </w:pPr>
            <w:r>
              <w:rPr>
                <w:highlight w:val="none"/>
              </w:rPr>
              <w:t>≥98百分比</w:t>
            </w:r>
          </w:p>
        </w:tc>
        <w:tc>
          <w:tcPr>
            <w:tcW w:w="2268" w:type="dxa"/>
            <w:vAlign w:val="center"/>
          </w:tcPr>
          <w:p>
            <w:pPr>
              <w:pStyle w:val="26"/>
              <w:rPr>
                <w:highlight w:val="none"/>
              </w:rPr>
            </w:pPr>
          </w:p>
        </w:tc>
      </w:tr>
    </w:tbl>
    <w:p>
      <w:pPr>
        <w:pStyle w:val="24"/>
        <w:rPr>
          <w:highlight w:val="none"/>
        </w:rPr>
        <w:sectPr>
          <w:pgSz w:w="16840" w:h="11900" w:orient="landscape"/>
          <w:pgMar w:top="1361" w:right="1020" w:bottom="1361" w:left="1020" w:header="720" w:footer="720" w:gutter="0"/>
          <w:cols w:space="720" w:num="1"/>
        </w:sectPr>
      </w:pPr>
    </w:p>
    <w:p>
      <w:pPr>
        <w:spacing w:before="10" w:after="10"/>
        <w:ind w:firstLine="640"/>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pPr>
        <w:spacing w:line="500" w:lineRule="exact"/>
        <w:ind w:firstLine="560"/>
        <w:rPr>
          <w:highlight w:val="none"/>
        </w:rPr>
      </w:pPr>
      <w:r>
        <w:rPr>
          <w:rFonts w:eastAsia="方正仿宋_GBK"/>
          <w:color w:val="000000"/>
          <w:sz w:val="28"/>
          <w:highlight w:val="none"/>
        </w:rPr>
        <w:t>2022年，栾城区物资局安排政府采购预算0.00万元。具体内容见下表。</w:t>
      </w:r>
    </w:p>
    <w:p>
      <w:pPr>
        <w:jc w:val="center"/>
        <w:rPr>
          <w:highlight w:val="none"/>
        </w:rPr>
      </w:pPr>
      <w:r>
        <w:rPr>
          <w:rFonts w:ascii="方正小标宋_GBK" w:hAnsi="方正小标宋_GBK" w:eastAsia="方正小标宋_GBK" w:cs="方正小标宋_GBK"/>
          <w:color w:val="000000"/>
          <w:sz w:val="36"/>
          <w:highlight w:val="none"/>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highlight w:val="none"/>
              </w:rPr>
            </w:pPr>
            <w:r>
              <w:rPr>
                <w:highlight w:val="none"/>
              </w:rPr>
              <w:t>977栾城区物资局</w:t>
            </w:r>
          </w:p>
        </w:tc>
        <w:tc>
          <w:tcPr>
            <w:tcW w:w="8676"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rPr>
                <w:highlight w:val="none"/>
              </w:rPr>
            </w:pPr>
            <w:r>
              <w:rPr>
                <w:highlight w:val="none"/>
              </w:rPr>
              <w:t>政府采购项目来源</w:t>
            </w:r>
          </w:p>
        </w:tc>
        <w:tc>
          <w:tcPr>
            <w:tcW w:w="1134" w:type="dxa"/>
            <w:vMerge w:val="restart"/>
            <w:vAlign w:val="center"/>
          </w:tcPr>
          <w:p>
            <w:pPr>
              <w:pStyle w:val="10"/>
              <w:rPr>
                <w:highlight w:val="none"/>
              </w:rPr>
            </w:pPr>
            <w:r>
              <w:rPr>
                <w:highlight w:val="none"/>
              </w:rPr>
              <w:t>采购物品名称</w:t>
            </w:r>
          </w:p>
        </w:tc>
        <w:tc>
          <w:tcPr>
            <w:tcW w:w="1134" w:type="dxa"/>
            <w:vMerge w:val="restart"/>
            <w:vAlign w:val="center"/>
          </w:tcPr>
          <w:p>
            <w:pPr>
              <w:pStyle w:val="10"/>
              <w:rPr>
                <w:highlight w:val="none"/>
              </w:rPr>
            </w:pPr>
            <w:r>
              <w:rPr>
                <w:highlight w:val="none"/>
              </w:rPr>
              <w:t>政府采购目录序号</w:t>
            </w:r>
          </w:p>
        </w:tc>
        <w:tc>
          <w:tcPr>
            <w:tcW w:w="709" w:type="dxa"/>
            <w:vMerge w:val="restart"/>
            <w:vAlign w:val="center"/>
          </w:tcPr>
          <w:p>
            <w:pPr>
              <w:pStyle w:val="10"/>
              <w:rPr>
                <w:highlight w:val="none"/>
              </w:rPr>
            </w:pPr>
            <w:r>
              <w:rPr>
                <w:highlight w:val="none"/>
              </w:rPr>
              <w:t>计量  单位</w:t>
            </w:r>
          </w:p>
        </w:tc>
        <w:tc>
          <w:tcPr>
            <w:tcW w:w="850" w:type="dxa"/>
            <w:vMerge w:val="restart"/>
            <w:vAlign w:val="center"/>
          </w:tcPr>
          <w:p>
            <w:pPr>
              <w:pStyle w:val="10"/>
              <w:rPr>
                <w:highlight w:val="none"/>
              </w:rPr>
            </w:pPr>
            <w:r>
              <w:rPr>
                <w:highlight w:val="none"/>
              </w:rPr>
              <w:t>数量</w:t>
            </w:r>
          </w:p>
        </w:tc>
        <w:tc>
          <w:tcPr>
            <w:tcW w:w="850" w:type="dxa"/>
            <w:vMerge w:val="restart"/>
            <w:vAlign w:val="center"/>
          </w:tcPr>
          <w:p>
            <w:pPr>
              <w:pStyle w:val="10"/>
              <w:rPr>
                <w:highlight w:val="none"/>
              </w:rPr>
            </w:pPr>
            <w:r>
              <w:rPr>
                <w:highlight w:val="none"/>
              </w:rPr>
              <w:t>单价</w:t>
            </w:r>
          </w:p>
        </w:tc>
        <w:tc>
          <w:tcPr>
            <w:tcW w:w="7712" w:type="dxa"/>
            <w:gridSpan w:val="8"/>
            <w:vAlign w:val="center"/>
          </w:tcPr>
          <w:p>
            <w:pPr>
              <w:pStyle w:val="10"/>
              <w:rPr>
                <w:highlight w:val="none"/>
              </w:rPr>
            </w:pPr>
            <w:r>
              <w:rPr>
                <w:highlight w:val="none"/>
              </w:rPr>
              <w:t>政府采购金额（当年部门预算安排资金）</w:t>
            </w:r>
          </w:p>
        </w:tc>
        <w:tc>
          <w:tcPr>
            <w:tcW w:w="964" w:type="dxa"/>
            <w:vMerge w:val="restart"/>
            <w:vAlign w:val="center"/>
          </w:tcPr>
          <w:p>
            <w:pPr>
              <w:pStyle w:val="10"/>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rPr>
                <w:highlight w:val="none"/>
              </w:rPr>
            </w:pPr>
            <w:r>
              <w:rPr>
                <w:highlight w:val="none"/>
              </w:rPr>
              <w:t>项目名称</w:t>
            </w:r>
          </w:p>
        </w:tc>
        <w:tc>
          <w:tcPr>
            <w:tcW w:w="964" w:type="dxa"/>
            <w:vAlign w:val="center"/>
          </w:tcPr>
          <w:p>
            <w:pPr>
              <w:pStyle w:val="10"/>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0"/>
              <w:rPr>
                <w:highlight w:val="none"/>
              </w:rPr>
            </w:pPr>
            <w:r>
              <w:rPr>
                <w:highlight w:val="none"/>
              </w:rPr>
              <w:t>合计</w:t>
            </w:r>
          </w:p>
        </w:tc>
        <w:tc>
          <w:tcPr>
            <w:tcW w:w="964" w:type="dxa"/>
            <w:vAlign w:val="center"/>
          </w:tcPr>
          <w:p>
            <w:pPr>
              <w:pStyle w:val="10"/>
              <w:rPr>
                <w:highlight w:val="none"/>
              </w:rPr>
            </w:pPr>
            <w:r>
              <w:rPr>
                <w:highlight w:val="none"/>
              </w:rPr>
              <w:t>一般公共预算拨款</w:t>
            </w:r>
          </w:p>
        </w:tc>
        <w:tc>
          <w:tcPr>
            <w:tcW w:w="964" w:type="dxa"/>
            <w:vAlign w:val="center"/>
          </w:tcPr>
          <w:p>
            <w:pPr>
              <w:pStyle w:val="10"/>
              <w:rPr>
                <w:highlight w:val="none"/>
              </w:rPr>
            </w:pPr>
            <w:r>
              <w:rPr>
                <w:highlight w:val="none"/>
              </w:rPr>
              <w:t>基金预算拨款</w:t>
            </w:r>
          </w:p>
        </w:tc>
        <w:tc>
          <w:tcPr>
            <w:tcW w:w="964" w:type="dxa"/>
            <w:vAlign w:val="center"/>
          </w:tcPr>
          <w:p>
            <w:pPr>
              <w:pStyle w:val="10"/>
              <w:rPr>
                <w:highlight w:val="none"/>
              </w:rPr>
            </w:pPr>
            <w:r>
              <w:rPr>
                <w:highlight w:val="none"/>
              </w:rPr>
              <w:t>国有资本经营预算拨款</w:t>
            </w:r>
          </w:p>
        </w:tc>
        <w:tc>
          <w:tcPr>
            <w:tcW w:w="964" w:type="dxa"/>
            <w:vAlign w:val="center"/>
          </w:tcPr>
          <w:p>
            <w:pPr>
              <w:pStyle w:val="10"/>
              <w:rPr>
                <w:highlight w:val="none"/>
              </w:rPr>
            </w:pPr>
            <w:r>
              <w:rPr>
                <w:highlight w:val="none"/>
              </w:rPr>
              <w:t>财政专户核拨</w:t>
            </w:r>
          </w:p>
        </w:tc>
        <w:tc>
          <w:tcPr>
            <w:tcW w:w="964" w:type="dxa"/>
            <w:vAlign w:val="center"/>
          </w:tcPr>
          <w:p>
            <w:pPr>
              <w:pStyle w:val="10"/>
              <w:rPr>
                <w:highlight w:val="none"/>
              </w:rPr>
            </w:pPr>
            <w:r>
              <w:rPr>
                <w:highlight w:val="none"/>
              </w:rPr>
              <w:t>单位    资金</w:t>
            </w:r>
          </w:p>
        </w:tc>
        <w:tc>
          <w:tcPr>
            <w:tcW w:w="964" w:type="dxa"/>
            <w:vAlign w:val="center"/>
          </w:tcPr>
          <w:p>
            <w:pPr>
              <w:pStyle w:val="10"/>
              <w:rPr>
                <w:highlight w:val="none"/>
              </w:rPr>
            </w:pPr>
            <w:r>
              <w:rPr>
                <w:highlight w:val="none"/>
              </w:rPr>
              <w:t>财政拨    款结转</w:t>
            </w:r>
          </w:p>
        </w:tc>
        <w:tc>
          <w:tcPr>
            <w:tcW w:w="964" w:type="dxa"/>
            <w:vAlign w:val="center"/>
          </w:tcPr>
          <w:p>
            <w:pPr>
              <w:pStyle w:val="10"/>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rPr>
                <w:highlight w:val="none"/>
              </w:rPr>
            </w:pPr>
          </w:p>
        </w:tc>
        <w:tc>
          <w:tcPr>
            <w:tcW w:w="964" w:type="dxa"/>
            <w:vAlign w:val="center"/>
          </w:tcPr>
          <w:p>
            <w:pPr>
              <w:pStyle w:val="11"/>
              <w:rPr>
                <w:highlight w:val="none"/>
              </w:rPr>
            </w:pPr>
          </w:p>
        </w:tc>
        <w:tc>
          <w:tcPr>
            <w:tcW w:w="1134" w:type="dxa"/>
            <w:vAlign w:val="center"/>
          </w:tcPr>
          <w:p>
            <w:pPr>
              <w:pStyle w:val="12"/>
              <w:rPr>
                <w:highlight w:val="none"/>
              </w:rPr>
            </w:pPr>
          </w:p>
        </w:tc>
        <w:tc>
          <w:tcPr>
            <w:tcW w:w="1134" w:type="dxa"/>
            <w:vAlign w:val="center"/>
          </w:tcPr>
          <w:p>
            <w:pPr>
              <w:pStyle w:val="12"/>
              <w:rPr>
                <w:highlight w:val="none"/>
              </w:rPr>
            </w:pPr>
          </w:p>
        </w:tc>
        <w:tc>
          <w:tcPr>
            <w:tcW w:w="709" w:type="dxa"/>
            <w:vAlign w:val="center"/>
          </w:tcPr>
          <w:p>
            <w:pPr>
              <w:pStyle w:val="13"/>
              <w:rPr>
                <w:highlight w:val="none"/>
              </w:rPr>
            </w:pPr>
          </w:p>
        </w:tc>
        <w:tc>
          <w:tcPr>
            <w:tcW w:w="850" w:type="dxa"/>
            <w:vAlign w:val="center"/>
          </w:tcPr>
          <w:p>
            <w:pPr>
              <w:pStyle w:val="11"/>
              <w:rPr>
                <w:highlight w:val="none"/>
              </w:rPr>
            </w:pPr>
          </w:p>
        </w:tc>
        <w:tc>
          <w:tcPr>
            <w:tcW w:w="850"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c>
          <w:tcPr>
            <w:tcW w:w="964" w:type="dxa"/>
            <w:vAlign w:val="center"/>
          </w:tcPr>
          <w:p>
            <w:pPr>
              <w:pStyle w:val="11"/>
              <w:rPr>
                <w:highlight w:val="none"/>
              </w:rPr>
            </w:pPr>
          </w:p>
        </w:tc>
      </w:tr>
    </w:tbl>
    <w:p>
      <w:pPr>
        <w:spacing w:line="500" w:lineRule="exact"/>
        <w:ind w:firstLine="420"/>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ind w:firstLine="420"/>
        <w:rPr>
          <w:highlight w:val="none"/>
        </w:rPr>
      </w:pPr>
      <w:r>
        <w:rPr>
          <w:rFonts w:ascii="方正书宋_GBK" w:hAnsi="方正书宋_GBK" w:eastAsia="方正书宋_GBK" w:cs="方正书宋_GBK"/>
          <w:color w:val="000000"/>
          <w:sz w:val="21"/>
          <w:highlight w:val="none"/>
        </w:rPr>
        <w:t>注：无政府采购预算，空表列示。</w:t>
      </w:r>
    </w:p>
    <w:p>
      <w:pPr>
        <w:ind w:firstLine="640"/>
        <w:rPr>
          <w:highlight w:val="none"/>
        </w:rPr>
      </w:pPr>
      <w:r>
        <w:rPr>
          <w:rFonts w:eastAsia="方正仿宋_GBK"/>
          <w:color w:val="000000"/>
          <w:sz w:val="32"/>
          <w:highlight w:val="none"/>
        </w:rPr>
        <w:t xml:space="preserve"> </w:t>
      </w:r>
    </w:p>
    <w:p>
      <w:pPr>
        <w:spacing w:before="10" w:after="10"/>
        <w:ind w:firstLine="640"/>
        <w:outlineLvl w:val="2"/>
        <w:rPr>
          <w:highlight w:val="none"/>
        </w:rPr>
      </w:pPr>
      <w:bookmarkStart w:id="15" w:name="_Toc_3_3_0000000016"/>
      <w:r>
        <w:rPr>
          <w:rFonts w:ascii="黑体" w:hAnsi="黑体" w:eastAsia="黑体" w:cs="黑体"/>
          <w:sz w:val="32"/>
          <w:highlight w:val="none"/>
        </w:rPr>
        <w:t>七、国有资产信息</w:t>
      </w:r>
      <w:bookmarkEnd w:id="15"/>
    </w:p>
    <w:p>
      <w:pPr>
        <w:spacing w:line="500" w:lineRule="exact"/>
        <w:ind w:firstLine="560"/>
        <w:rPr>
          <w:highlight w:val="none"/>
        </w:rPr>
      </w:pPr>
      <w:r>
        <w:rPr>
          <w:rFonts w:eastAsia="方正仿宋_GBK"/>
          <w:color w:val="000000"/>
          <w:sz w:val="28"/>
          <w:highlight w:val="none"/>
        </w:rPr>
        <w:t>栾城区物资局（含所属单位）上年末固定资产金额为</w:t>
      </w:r>
      <w:r>
        <w:rPr>
          <w:rFonts w:hint="eastAsia" w:eastAsia="方正仿宋_GBK"/>
          <w:sz w:val="28"/>
          <w:highlight w:val="none"/>
        </w:rPr>
        <w:t>1.91</w:t>
      </w:r>
      <w:r>
        <w:rPr>
          <w:rFonts w:eastAsia="方正仿宋_GBK"/>
          <w:color w:val="000000"/>
          <w:sz w:val="28"/>
          <w:highlight w:val="none"/>
        </w:rPr>
        <w:t>万元（详见下表）。本年度拟购置固定资产总额为0.00万元，已按要求列入政府采购预算，详见政府采购预算表。</w:t>
      </w:r>
    </w:p>
    <w:p>
      <w:pPr>
        <w:ind w:firstLine="640"/>
        <w:rPr>
          <w:highlight w:val="none"/>
        </w:rPr>
      </w:pPr>
    </w:p>
    <w:tbl>
      <w:tblPr>
        <w:tblStyle w:val="4"/>
        <w:tblW w:w="13182" w:type="dxa"/>
        <w:tblInd w:w="1101" w:type="dxa"/>
        <w:tblLayout w:type="fixed"/>
        <w:tblCellMar>
          <w:top w:w="0" w:type="dxa"/>
          <w:left w:w="108" w:type="dxa"/>
          <w:bottom w:w="0" w:type="dxa"/>
          <w:right w:w="108" w:type="dxa"/>
        </w:tblCellMar>
      </w:tblPr>
      <w:tblGrid>
        <w:gridCol w:w="2835"/>
        <w:gridCol w:w="3402"/>
        <w:gridCol w:w="6945"/>
      </w:tblGrid>
      <w:tr>
        <w:tblPrEx>
          <w:tblCellMar>
            <w:top w:w="0" w:type="dxa"/>
            <w:left w:w="108" w:type="dxa"/>
            <w:bottom w:w="0" w:type="dxa"/>
            <w:right w:w="108" w:type="dxa"/>
          </w:tblCellMar>
        </w:tblPrEx>
        <w:trPr>
          <w:trHeight w:val="705" w:hRule="atLeast"/>
        </w:trPr>
        <w:tc>
          <w:tcPr>
            <w:tcW w:w="13182" w:type="dxa"/>
            <w:gridSpan w:val="3"/>
            <w:tcBorders>
              <w:top w:val="nil"/>
              <w:left w:val="nil"/>
              <w:bottom w:val="nil"/>
              <w:right w:val="nil"/>
            </w:tcBorders>
            <w:vAlign w:val="center"/>
          </w:tcPr>
          <w:p>
            <w:pPr>
              <w:autoSpaceDE w:val="0"/>
              <w:autoSpaceDN w:val="0"/>
              <w:adjustRightInd w:val="0"/>
              <w:jc w:val="center"/>
              <w:rPr>
                <w:rFonts w:ascii="宋体" w:hAnsi="宋体" w:cs="宋体"/>
                <w:b/>
                <w:bCs/>
                <w:sz w:val="28"/>
                <w:szCs w:val="28"/>
                <w:highlight w:val="none"/>
              </w:rPr>
            </w:pPr>
          </w:p>
          <w:p>
            <w:pPr>
              <w:autoSpaceDE w:val="0"/>
              <w:autoSpaceDN w:val="0"/>
              <w:adjustRightInd w:val="0"/>
              <w:jc w:val="center"/>
              <w:rPr>
                <w:rFonts w:ascii="宋体" w:hAnsi="宋体" w:cs="宋体" w:eastAsiaTheme="minorEastAsia"/>
                <w:b/>
                <w:bCs/>
                <w:sz w:val="36"/>
                <w:szCs w:val="36"/>
                <w:highlight w:val="none"/>
                <w:lang w:eastAsia="zh-CN"/>
              </w:rPr>
            </w:pPr>
          </w:p>
          <w:p>
            <w:pPr>
              <w:autoSpaceDE w:val="0"/>
              <w:autoSpaceDN w:val="0"/>
              <w:adjustRightInd w:val="0"/>
              <w:jc w:val="center"/>
              <w:rPr>
                <w:rFonts w:ascii="宋体" w:hAnsi="宋体" w:cs="宋体" w:eastAsiaTheme="minorEastAsia"/>
                <w:b/>
                <w:bCs/>
                <w:sz w:val="36"/>
                <w:szCs w:val="36"/>
                <w:highlight w:val="none"/>
                <w:lang w:eastAsia="zh-CN"/>
              </w:rPr>
            </w:pPr>
          </w:p>
          <w:p>
            <w:pPr>
              <w:autoSpaceDE w:val="0"/>
              <w:autoSpaceDN w:val="0"/>
              <w:adjustRightInd w:val="0"/>
              <w:jc w:val="center"/>
              <w:rPr>
                <w:rFonts w:ascii="宋体" w:hAnsi="宋体" w:cs="宋体" w:eastAsiaTheme="minorEastAsia"/>
                <w:b/>
                <w:bCs/>
                <w:sz w:val="36"/>
                <w:szCs w:val="36"/>
                <w:highlight w:val="none"/>
                <w:lang w:eastAsia="zh-CN"/>
              </w:rPr>
            </w:pPr>
          </w:p>
          <w:p>
            <w:pPr>
              <w:autoSpaceDE w:val="0"/>
              <w:autoSpaceDN w:val="0"/>
              <w:adjustRightInd w:val="0"/>
              <w:jc w:val="center"/>
              <w:rPr>
                <w:rFonts w:ascii="宋体" w:hAnsi="宋体" w:cs="宋体" w:eastAsiaTheme="minorEastAsia"/>
                <w:b/>
                <w:bCs/>
                <w:sz w:val="36"/>
                <w:szCs w:val="36"/>
                <w:highlight w:val="none"/>
                <w:lang w:eastAsia="zh-CN"/>
              </w:rPr>
            </w:pPr>
          </w:p>
          <w:p>
            <w:pPr>
              <w:autoSpaceDE w:val="0"/>
              <w:autoSpaceDN w:val="0"/>
              <w:adjustRightInd w:val="0"/>
              <w:jc w:val="center"/>
              <w:rPr>
                <w:rFonts w:ascii="宋体" w:hAnsi="宋体" w:cs="宋体" w:eastAsiaTheme="minorEastAsia"/>
                <w:b/>
                <w:bCs/>
                <w:sz w:val="36"/>
                <w:szCs w:val="36"/>
                <w:highlight w:val="none"/>
                <w:lang w:eastAsia="zh-CN"/>
              </w:rPr>
            </w:pPr>
          </w:p>
          <w:p>
            <w:pPr>
              <w:autoSpaceDE w:val="0"/>
              <w:autoSpaceDN w:val="0"/>
              <w:adjustRightInd w:val="0"/>
              <w:jc w:val="center"/>
              <w:rPr>
                <w:rFonts w:ascii="宋体" w:hAnsi="宋体" w:cs="宋体" w:eastAsiaTheme="minorEastAsia"/>
                <w:b/>
                <w:bCs/>
                <w:sz w:val="36"/>
                <w:szCs w:val="36"/>
                <w:highlight w:val="none"/>
                <w:lang w:eastAsia="zh-CN"/>
              </w:rPr>
            </w:pPr>
          </w:p>
          <w:p>
            <w:pPr>
              <w:autoSpaceDE w:val="0"/>
              <w:autoSpaceDN w:val="0"/>
              <w:adjustRightInd w:val="0"/>
              <w:jc w:val="center"/>
              <w:rPr>
                <w:rFonts w:ascii="仿宋" w:hAnsi="仿宋" w:eastAsia="仿宋"/>
                <w:sz w:val="36"/>
                <w:szCs w:val="36"/>
                <w:highlight w:val="none"/>
              </w:rPr>
            </w:pPr>
            <w:r>
              <w:rPr>
                <w:rFonts w:hint="eastAsia" w:ascii="宋体" w:hAnsi="宋体" w:cs="宋体"/>
                <w:b/>
                <w:bCs/>
                <w:sz w:val="36"/>
                <w:szCs w:val="36"/>
                <w:highlight w:val="none"/>
              </w:rPr>
              <w:t>部门固定资产占用情况表</w:t>
            </w:r>
          </w:p>
          <w:p>
            <w:pPr>
              <w:rPr>
                <w:rFonts w:ascii="宋体" w:cs="宋体"/>
                <w:b/>
                <w:bCs/>
                <w:sz w:val="32"/>
                <w:szCs w:val="32"/>
                <w:highlight w:val="none"/>
              </w:rPr>
            </w:pPr>
          </w:p>
        </w:tc>
      </w:tr>
      <w:tr>
        <w:tblPrEx>
          <w:tblCellMar>
            <w:top w:w="0" w:type="dxa"/>
            <w:left w:w="108" w:type="dxa"/>
            <w:bottom w:w="0" w:type="dxa"/>
            <w:right w:w="108" w:type="dxa"/>
          </w:tblCellMar>
        </w:tblPrEx>
        <w:trPr>
          <w:trHeight w:val="80" w:hRule="atLeast"/>
        </w:trPr>
        <w:tc>
          <w:tcPr>
            <w:tcW w:w="6237" w:type="dxa"/>
            <w:gridSpan w:val="2"/>
            <w:tcBorders>
              <w:top w:val="nil"/>
              <w:left w:val="nil"/>
              <w:bottom w:val="nil"/>
              <w:right w:val="nil"/>
            </w:tcBorders>
            <w:vAlign w:val="center"/>
          </w:tcPr>
          <w:p>
            <w:pPr>
              <w:rPr>
                <w:rFonts w:ascii="宋体" w:cs="宋体"/>
                <w:sz w:val="32"/>
                <w:szCs w:val="32"/>
                <w:highlight w:val="none"/>
              </w:rPr>
            </w:pPr>
            <w:r>
              <w:rPr>
                <w:rFonts w:hint="eastAsia" w:ascii="宋体" w:hAnsi="宋体" w:cs="宋体" w:eastAsiaTheme="minorEastAsia"/>
                <w:sz w:val="32"/>
                <w:szCs w:val="32"/>
                <w:highlight w:val="none"/>
                <w:lang w:eastAsia="zh-CN"/>
              </w:rPr>
              <w:t>977</w:t>
            </w:r>
            <w:r>
              <w:rPr>
                <w:rFonts w:hint="eastAsia" w:ascii="宋体" w:hAnsi="宋体" w:cs="宋体"/>
                <w:sz w:val="32"/>
                <w:szCs w:val="32"/>
                <w:highlight w:val="none"/>
              </w:rPr>
              <w:t xml:space="preserve">栾城区物资局                                   </w:t>
            </w:r>
          </w:p>
        </w:tc>
        <w:tc>
          <w:tcPr>
            <w:tcW w:w="6945" w:type="dxa"/>
            <w:tcBorders>
              <w:top w:val="nil"/>
              <w:left w:val="nil"/>
              <w:bottom w:val="nil"/>
              <w:right w:val="nil"/>
            </w:tcBorders>
            <w:vAlign w:val="center"/>
          </w:tcPr>
          <w:p>
            <w:pPr>
              <w:ind w:firstLine="2880" w:firstLineChars="900"/>
              <w:rPr>
                <w:rFonts w:ascii="宋体" w:cs="宋体"/>
                <w:sz w:val="32"/>
                <w:szCs w:val="32"/>
                <w:highlight w:val="none"/>
              </w:rPr>
            </w:pPr>
            <w:r>
              <w:rPr>
                <w:rFonts w:hint="eastAsia" w:ascii="宋体" w:hAnsi="宋体" w:cs="宋体"/>
                <w:sz w:val="32"/>
                <w:szCs w:val="32"/>
                <w:highlight w:val="none"/>
              </w:rPr>
              <w:t>截止时间：</w:t>
            </w:r>
            <w:r>
              <w:rPr>
                <w:rFonts w:ascii="宋体" w:hAnsi="宋体" w:cs="宋体"/>
                <w:sz w:val="32"/>
                <w:szCs w:val="32"/>
                <w:highlight w:val="none"/>
              </w:rPr>
              <w:t>20</w:t>
            </w:r>
            <w:r>
              <w:rPr>
                <w:rFonts w:hint="eastAsia" w:ascii="宋体" w:hAnsi="宋体" w:cs="宋体"/>
                <w:sz w:val="32"/>
                <w:szCs w:val="32"/>
                <w:highlight w:val="none"/>
              </w:rPr>
              <w:t>2</w:t>
            </w:r>
            <w:r>
              <w:rPr>
                <w:rFonts w:hint="eastAsia" w:ascii="宋体" w:hAnsi="宋体" w:cs="宋体" w:eastAsiaTheme="minorEastAsia"/>
                <w:sz w:val="32"/>
                <w:szCs w:val="32"/>
                <w:highlight w:val="none"/>
                <w:lang w:eastAsia="zh-CN"/>
              </w:rPr>
              <w:t>1-</w:t>
            </w:r>
            <w:r>
              <w:rPr>
                <w:rFonts w:ascii="宋体" w:hAnsi="宋体" w:cs="宋体"/>
                <w:sz w:val="32"/>
                <w:szCs w:val="32"/>
                <w:highlight w:val="none"/>
              </w:rPr>
              <w:t>12</w:t>
            </w:r>
            <w:r>
              <w:rPr>
                <w:rFonts w:hint="eastAsia" w:ascii="宋体" w:hAnsi="宋体" w:cs="宋体" w:eastAsiaTheme="minorEastAsia"/>
                <w:sz w:val="32"/>
                <w:szCs w:val="32"/>
                <w:highlight w:val="none"/>
                <w:lang w:eastAsia="zh-CN"/>
              </w:rPr>
              <w:t>-</w:t>
            </w:r>
            <w:r>
              <w:rPr>
                <w:rFonts w:ascii="宋体" w:hAnsi="宋体" w:cs="宋体"/>
                <w:sz w:val="32"/>
                <w:szCs w:val="32"/>
                <w:highlight w:val="none"/>
              </w:rPr>
              <w:t xml:space="preserve">31  </w:t>
            </w:r>
          </w:p>
        </w:tc>
      </w:tr>
      <w:tr>
        <w:tblPrEx>
          <w:tblCellMar>
            <w:top w:w="0" w:type="dxa"/>
            <w:left w:w="108" w:type="dxa"/>
            <w:bottom w:w="0" w:type="dxa"/>
            <w:right w:w="108" w:type="dxa"/>
          </w:tblCellMar>
        </w:tblPrEx>
        <w:trPr>
          <w:trHeight w:val="633" w:hRule="atLeast"/>
        </w:trPr>
        <w:tc>
          <w:tcPr>
            <w:tcW w:w="2835" w:type="dxa"/>
            <w:tcBorders>
              <w:top w:val="single" w:color="auto" w:sz="4" w:space="0"/>
              <w:left w:val="single" w:color="auto" w:sz="4" w:space="0"/>
              <w:bottom w:val="single" w:color="auto" w:sz="4" w:space="0"/>
              <w:right w:val="single" w:color="auto" w:sz="4" w:space="0"/>
            </w:tcBorders>
            <w:vAlign w:val="center"/>
          </w:tcPr>
          <w:p>
            <w:pPr>
              <w:jc w:val="center"/>
              <w:rPr>
                <w:rFonts w:ascii="宋体" w:cs="宋体"/>
                <w:b/>
                <w:bCs/>
                <w:sz w:val="22"/>
                <w:highlight w:val="none"/>
              </w:rPr>
            </w:pPr>
            <w:r>
              <w:rPr>
                <w:rFonts w:hint="eastAsia" w:ascii="宋体" w:hAnsi="宋体" w:cs="宋体"/>
                <w:b/>
                <w:bCs/>
                <w:sz w:val="22"/>
                <w:highlight w:val="none"/>
              </w:rPr>
              <w:t>项</w:t>
            </w:r>
            <w:r>
              <w:rPr>
                <w:rFonts w:ascii="宋体" w:hAnsi="宋体" w:cs="宋体"/>
                <w:b/>
                <w:bCs/>
                <w:sz w:val="22"/>
                <w:highlight w:val="none"/>
              </w:rPr>
              <w:t xml:space="preserve">   </w:t>
            </w:r>
            <w:r>
              <w:rPr>
                <w:rFonts w:hint="eastAsia" w:ascii="宋体" w:hAnsi="宋体" w:cs="宋体"/>
                <w:b/>
                <w:bCs/>
                <w:sz w:val="22"/>
                <w:highlight w:val="none"/>
              </w:rPr>
              <w:t>目</w:t>
            </w:r>
          </w:p>
        </w:tc>
        <w:tc>
          <w:tcPr>
            <w:tcW w:w="3402" w:type="dxa"/>
            <w:tcBorders>
              <w:top w:val="single" w:color="auto" w:sz="4" w:space="0"/>
              <w:left w:val="nil"/>
              <w:bottom w:val="single" w:color="auto" w:sz="4" w:space="0"/>
              <w:right w:val="single" w:color="auto" w:sz="4" w:space="0"/>
            </w:tcBorders>
            <w:vAlign w:val="center"/>
          </w:tcPr>
          <w:p>
            <w:pPr>
              <w:jc w:val="center"/>
              <w:rPr>
                <w:rFonts w:ascii="宋体" w:cs="宋体"/>
                <w:b/>
                <w:bCs/>
                <w:sz w:val="22"/>
                <w:highlight w:val="none"/>
              </w:rPr>
            </w:pPr>
            <w:r>
              <w:rPr>
                <w:rFonts w:hint="eastAsia" w:ascii="宋体" w:hAnsi="宋体" w:cs="宋体"/>
                <w:b/>
                <w:bCs/>
                <w:sz w:val="22"/>
                <w:highlight w:val="none"/>
              </w:rPr>
              <w:t>数量</w:t>
            </w:r>
          </w:p>
        </w:tc>
        <w:tc>
          <w:tcPr>
            <w:tcW w:w="6945" w:type="dxa"/>
            <w:tcBorders>
              <w:top w:val="single" w:color="auto" w:sz="4" w:space="0"/>
              <w:left w:val="nil"/>
              <w:bottom w:val="single" w:color="auto" w:sz="4" w:space="0"/>
              <w:right w:val="single" w:color="auto" w:sz="4" w:space="0"/>
            </w:tcBorders>
            <w:vAlign w:val="center"/>
          </w:tcPr>
          <w:p>
            <w:pPr>
              <w:jc w:val="center"/>
              <w:rPr>
                <w:rFonts w:ascii="宋体" w:cs="宋体"/>
                <w:b/>
                <w:bCs/>
                <w:sz w:val="22"/>
                <w:highlight w:val="none"/>
              </w:rPr>
            </w:pPr>
            <w:r>
              <w:rPr>
                <w:rFonts w:hint="eastAsia" w:ascii="宋体" w:hAnsi="宋体" w:cs="宋体"/>
                <w:b/>
                <w:bCs/>
                <w:sz w:val="22"/>
                <w:highlight w:val="none"/>
              </w:rPr>
              <w:t>价值（金额单位：万元）</w:t>
            </w:r>
          </w:p>
        </w:tc>
      </w:tr>
      <w:tr>
        <w:tblPrEx>
          <w:tblCellMar>
            <w:top w:w="0" w:type="dxa"/>
            <w:left w:w="108" w:type="dxa"/>
            <w:bottom w:w="0" w:type="dxa"/>
            <w:right w:w="108" w:type="dxa"/>
          </w:tblCellMar>
        </w:tblPrEx>
        <w:trPr>
          <w:trHeight w:val="645" w:hRule="atLeast"/>
        </w:trPr>
        <w:tc>
          <w:tcPr>
            <w:tcW w:w="2835" w:type="dxa"/>
            <w:tcBorders>
              <w:top w:val="nil"/>
              <w:left w:val="single" w:color="auto" w:sz="4" w:space="0"/>
              <w:bottom w:val="single" w:color="auto" w:sz="4" w:space="0"/>
              <w:right w:val="single" w:color="auto" w:sz="4" w:space="0"/>
            </w:tcBorders>
            <w:vAlign w:val="center"/>
          </w:tcPr>
          <w:p>
            <w:pPr>
              <w:jc w:val="center"/>
              <w:rPr>
                <w:rFonts w:ascii="宋体" w:cs="宋体"/>
                <w:sz w:val="22"/>
                <w:highlight w:val="none"/>
              </w:rPr>
            </w:pPr>
            <w:r>
              <w:rPr>
                <w:rFonts w:hint="eastAsia" w:ascii="宋体" w:hAnsi="宋体" w:cs="宋体"/>
                <w:sz w:val="22"/>
                <w:highlight w:val="none"/>
              </w:rPr>
              <w:t>资产总额</w:t>
            </w:r>
          </w:p>
        </w:tc>
        <w:tc>
          <w:tcPr>
            <w:tcW w:w="3402"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hint="eastAsia" w:ascii="宋体" w:hAnsi="宋体" w:cs="宋体"/>
                <w:sz w:val="22"/>
                <w:highlight w:val="none"/>
              </w:rPr>
              <w:t>7</w:t>
            </w:r>
          </w:p>
        </w:tc>
        <w:tc>
          <w:tcPr>
            <w:tcW w:w="6945"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hint="eastAsia" w:ascii="宋体" w:hAnsi="宋体" w:cs="宋体"/>
                <w:sz w:val="22"/>
                <w:highlight w:val="none"/>
              </w:rPr>
              <w:t>1.91</w:t>
            </w:r>
          </w:p>
        </w:tc>
      </w:tr>
      <w:tr>
        <w:tblPrEx>
          <w:tblCellMar>
            <w:top w:w="0" w:type="dxa"/>
            <w:left w:w="108" w:type="dxa"/>
            <w:bottom w:w="0" w:type="dxa"/>
            <w:right w:w="108" w:type="dxa"/>
          </w:tblCellMar>
        </w:tblPrEx>
        <w:trPr>
          <w:trHeight w:val="645" w:hRule="atLeast"/>
        </w:trPr>
        <w:tc>
          <w:tcPr>
            <w:tcW w:w="2835" w:type="dxa"/>
            <w:tcBorders>
              <w:top w:val="nil"/>
              <w:left w:val="single" w:color="auto" w:sz="4" w:space="0"/>
              <w:bottom w:val="single" w:color="auto" w:sz="4" w:space="0"/>
              <w:right w:val="single" w:color="auto" w:sz="4" w:space="0"/>
            </w:tcBorders>
            <w:vAlign w:val="center"/>
          </w:tcPr>
          <w:p>
            <w:pPr>
              <w:rPr>
                <w:rFonts w:ascii="宋体" w:cs="宋体"/>
                <w:sz w:val="22"/>
                <w:highlight w:val="none"/>
              </w:rPr>
            </w:pPr>
            <w:r>
              <w:rPr>
                <w:rFonts w:ascii="宋体" w:hAnsi="宋体" w:cs="宋体"/>
                <w:sz w:val="22"/>
                <w:highlight w:val="none"/>
              </w:rPr>
              <w:t>1</w:t>
            </w:r>
            <w:r>
              <w:rPr>
                <w:rFonts w:hint="eastAsia" w:ascii="宋体" w:hAnsi="宋体" w:cs="宋体"/>
                <w:sz w:val="22"/>
                <w:highlight w:val="none"/>
              </w:rPr>
              <w:t>、房屋（平方米）</w:t>
            </w:r>
          </w:p>
        </w:tc>
        <w:tc>
          <w:tcPr>
            <w:tcW w:w="3402"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ascii="宋体" w:cs="宋体"/>
                <w:sz w:val="22"/>
                <w:highlight w:val="none"/>
              </w:rPr>
              <w:t>0</w:t>
            </w:r>
          </w:p>
        </w:tc>
        <w:tc>
          <w:tcPr>
            <w:tcW w:w="6945"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ascii="宋体" w:cs="宋体"/>
                <w:sz w:val="22"/>
                <w:highlight w:val="none"/>
              </w:rPr>
              <w:t>0</w:t>
            </w:r>
          </w:p>
        </w:tc>
      </w:tr>
      <w:tr>
        <w:tblPrEx>
          <w:tblCellMar>
            <w:top w:w="0" w:type="dxa"/>
            <w:left w:w="108" w:type="dxa"/>
            <w:bottom w:w="0" w:type="dxa"/>
            <w:right w:w="108" w:type="dxa"/>
          </w:tblCellMar>
        </w:tblPrEx>
        <w:trPr>
          <w:trHeight w:val="645" w:hRule="atLeast"/>
        </w:trPr>
        <w:tc>
          <w:tcPr>
            <w:tcW w:w="2835" w:type="dxa"/>
            <w:tcBorders>
              <w:top w:val="nil"/>
              <w:left w:val="single" w:color="auto" w:sz="4" w:space="0"/>
              <w:bottom w:val="single" w:color="auto" w:sz="4" w:space="0"/>
              <w:right w:val="single" w:color="auto" w:sz="4" w:space="0"/>
            </w:tcBorders>
            <w:vAlign w:val="center"/>
          </w:tcPr>
          <w:p>
            <w:pPr>
              <w:rPr>
                <w:rFonts w:ascii="宋体" w:cs="宋体"/>
                <w:sz w:val="22"/>
                <w:highlight w:val="none"/>
              </w:rPr>
            </w:pPr>
            <w:r>
              <w:rPr>
                <w:rFonts w:ascii="宋体" w:hAnsi="宋体" w:cs="宋体"/>
                <w:sz w:val="22"/>
                <w:highlight w:val="none"/>
              </w:rPr>
              <w:t xml:space="preserve">  </w:t>
            </w:r>
            <w:r>
              <w:rPr>
                <w:rFonts w:hint="eastAsia" w:ascii="宋体" w:hAnsi="宋体" w:cs="宋体"/>
                <w:sz w:val="22"/>
                <w:highlight w:val="none"/>
              </w:rPr>
              <w:t>其中：办公用房（平方米）</w:t>
            </w:r>
          </w:p>
        </w:tc>
        <w:tc>
          <w:tcPr>
            <w:tcW w:w="3402" w:type="dxa"/>
            <w:tcBorders>
              <w:top w:val="nil"/>
              <w:left w:val="nil"/>
              <w:bottom w:val="single" w:color="auto" w:sz="4" w:space="0"/>
              <w:right w:val="single" w:color="auto" w:sz="4" w:space="0"/>
            </w:tcBorders>
            <w:vAlign w:val="center"/>
          </w:tcPr>
          <w:p>
            <w:pPr>
              <w:jc w:val="center"/>
              <w:rPr>
                <w:rFonts w:ascii="宋体" w:cs="宋体"/>
                <w:sz w:val="22"/>
                <w:highlight w:val="none"/>
              </w:rPr>
            </w:pPr>
          </w:p>
        </w:tc>
        <w:tc>
          <w:tcPr>
            <w:tcW w:w="6945" w:type="dxa"/>
            <w:tcBorders>
              <w:top w:val="nil"/>
              <w:left w:val="nil"/>
              <w:bottom w:val="single" w:color="auto" w:sz="4" w:space="0"/>
              <w:right w:val="single" w:color="auto" w:sz="4" w:space="0"/>
            </w:tcBorders>
            <w:vAlign w:val="center"/>
          </w:tcPr>
          <w:p>
            <w:pPr>
              <w:jc w:val="center"/>
              <w:rPr>
                <w:rFonts w:ascii="宋体" w:cs="宋体"/>
                <w:sz w:val="22"/>
                <w:highlight w:val="none"/>
              </w:rPr>
            </w:pPr>
          </w:p>
        </w:tc>
      </w:tr>
      <w:tr>
        <w:tblPrEx>
          <w:tblCellMar>
            <w:top w:w="0" w:type="dxa"/>
            <w:left w:w="108" w:type="dxa"/>
            <w:bottom w:w="0" w:type="dxa"/>
            <w:right w:w="108" w:type="dxa"/>
          </w:tblCellMar>
        </w:tblPrEx>
        <w:trPr>
          <w:trHeight w:val="645" w:hRule="atLeast"/>
        </w:trPr>
        <w:tc>
          <w:tcPr>
            <w:tcW w:w="2835" w:type="dxa"/>
            <w:tcBorders>
              <w:top w:val="nil"/>
              <w:left w:val="single" w:color="auto" w:sz="4" w:space="0"/>
              <w:bottom w:val="single" w:color="auto" w:sz="4" w:space="0"/>
              <w:right w:val="single" w:color="auto" w:sz="4" w:space="0"/>
            </w:tcBorders>
            <w:vAlign w:val="center"/>
          </w:tcPr>
          <w:p>
            <w:pPr>
              <w:rPr>
                <w:rFonts w:ascii="宋体" w:cs="宋体"/>
                <w:sz w:val="22"/>
                <w:highlight w:val="none"/>
              </w:rPr>
            </w:pPr>
            <w:r>
              <w:rPr>
                <w:rFonts w:ascii="宋体" w:hAnsi="宋体" w:cs="宋体"/>
                <w:sz w:val="22"/>
                <w:highlight w:val="none"/>
              </w:rPr>
              <w:t>2</w:t>
            </w:r>
            <w:r>
              <w:rPr>
                <w:rFonts w:hint="eastAsia" w:ascii="宋体" w:hAnsi="宋体" w:cs="宋体"/>
                <w:sz w:val="22"/>
                <w:highlight w:val="none"/>
              </w:rPr>
              <w:t>、车辆（台、辆）</w:t>
            </w:r>
          </w:p>
        </w:tc>
        <w:tc>
          <w:tcPr>
            <w:tcW w:w="3402"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ascii="宋体" w:cs="宋体"/>
                <w:sz w:val="22"/>
                <w:highlight w:val="none"/>
              </w:rPr>
              <w:t>0</w:t>
            </w:r>
          </w:p>
        </w:tc>
        <w:tc>
          <w:tcPr>
            <w:tcW w:w="6945"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ascii="宋体" w:cs="宋体"/>
                <w:sz w:val="22"/>
                <w:highlight w:val="none"/>
              </w:rPr>
              <w:t>0</w:t>
            </w:r>
          </w:p>
        </w:tc>
      </w:tr>
      <w:tr>
        <w:tblPrEx>
          <w:tblCellMar>
            <w:top w:w="0" w:type="dxa"/>
            <w:left w:w="108" w:type="dxa"/>
            <w:bottom w:w="0" w:type="dxa"/>
            <w:right w:w="108" w:type="dxa"/>
          </w:tblCellMar>
        </w:tblPrEx>
        <w:trPr>
          <w:trHeight w:val="645" w:hRule="atLeast"/>
        </w:trPr>
        <w:tc>
          <w:tcPr>
            <w:tcW w:w="2835" w:type="dxa"/>
            <w:tcBorders>
              <w:top w:val="nil"/>
              <w:left w:val="single" w:color="auto" w:sz="4" w:space="0"/>
              <w:bottom w:val="single" w:color="auto" w:sz="4" w:space="0"/>
              <w:right w:val="single" w:color="auto" w:sz="4" w:space="0"/>
            </w:tcBorders>
            <w:vAlign w:val="center"/>
          </w:tcPr>
          <w:p>
            <w:pPr>
              <w:rPr>
                <w:rFonts w:ascii="宋体" w:cs="宋体"/>
                <w:sz w:val="22"/>
                <w:highlight w:val="none"/>
              </w:rPr>
            </w:pPr>
            <w:r>
              <w:rPr>
                <w:rFonts w:ascii="宋体" w:hAnsi="宋体" w:cs="宋体"/>
                <w:sz w:val="22"/>
                <w:highlight w:val="none"/>
              </w:rPr>
              <w:t>3</w:t>
            </w:r>
            <w:r>
              <w:rPr>
                <w:rFonts w:hint="eastAsia" w:ascii="宋体" w:hAnsi="宋体" w:cs="宋体"/>
                <w:sz w:val="22"/>
                <w:highlight w:val="none"/>
              </w:rPr>
              <w:t>、单价在20万元以上设备</w:t>
            </w:r>
          </w:p>
        </w:tc>
        <w:tc>
          <w:tcPr>
            <w:tcW w:w="3402"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ascii="宋体" w:hAnsi="宋体" w:cs="宋体"/>
                <w:sz w:val="22"/>
                <w:highlight w:val="none"/>
              </w:rPr>
              <w:t>——</w:t>
            </w:r>
          </w:p>
        </w:tc>
        <w:tc>
          <w:tcPr>
            <w:tcW w:w="6945" w:type="dxa"/>
            <w:tcBorders>
              <w:top w:val="nil"/>
              <w:left w:val="nil"/>
              <w:bottom w:val="single" w:color="auto" w:sz="4" w:space="0"/>
              <w:right w:val="single" w:color="auto" w:sz="4" w:space="0"/>
            </w:tcBorders>
            <w:vAlign w:val="center"/>
          </w:tcPr>
          <w:p>
            <w:pPr>
              <w:jc w:val="center"/>
              <w:rPr>
                <w:rFonts w:ascii="宋体" w:cs="宋体" w:eastAsiaTheme="minorEastAsia"/>
                <w:sz w:val="22"/>
                <w:highlight w:val="none"/>
                <w:lang w:eastAsia="zh-CN"/>
              </w:rPr>
            </w:pPr>
            <w:r>
              <w:rPr>
                <w:rFonts w:hint="eastAsia" w:ascii="宋体" w:cs="宋体" w:eastAsiaTheme="minorEastAsia"/>
                <w:sz w:val="22"/>
                <w:highlight w:val="none"/>
                <w:lang w:eastAsia="zh-CN"/>
              </w:rPr>
              <w:t>0</w:t>
            </w:r>
          </w:p>
        </w:tc>
      </w:tr>
      <w:tr>
        <w:tblPrEx>
          <w:tblCellMar>
            <w:top w:w="0" w:type="dxa"/>
            <w:left w:w="108" w:type="dxa"/>
            <w:bottom w:w="0" w:type="dxa"/>
            <w:right w:w="108" w:type="dxa"/>
          </w:tblCellMar>
        </w:tblPrEx>
        <w:trPr>
          <w:trHeight w:val="645" w:hRule="atLeast"/>
        </w:trPr>
        <w:tc>
          <w:tcPr>
            <w:tcW w:w="2835" w:type="dxa"/>
            <w:tcBorders>
              <w:top w:val="nil"/>
              <w:left w:val="single" w:color="auto" w:sz="4" w:space="0"/>
              <w:bottom w:val="single" w:color="auto" w:sz="4" w:space="0"/>
              <w:right w:val="single" w:color="auto" w:sz="4" w:space="0"/>
            </w:tcBorders>
            <w:vAlign w:val="center"/>
          </w:tcPr>
          <w:p>
            <w:pPr>
              <w:rPr>
                <w:rFonts w:ascii="宋体" w:cs="宋体"/>
                <w:sz w:val="22"/>
                <w:highlight w:val="none"/>
              </w:rPr>
            </w:pPr>
            <w:r>
              <w:rPr>
                <w:rFonts w:ascii="宋体" w:hAnsi="宋体" w:cs="宋体"/>
                <w:sz w:val="22"/>
                <w:highlight w:val="none"/>
              </w:rPr>
              <w:t>4</w:t>
            </w:r>
            <w:r>
              <w:rPr>
                <w:rFonts w:hint="eastAsia" w:ascii="宋体" w:hAnsi="宋体" w:cs="宋体"/>
                <w:sz w:val="22"/>
                <w:highlight w:val="none"/>
              </w:rPr>
              <w:t>、其他固定资产</w:t>
            </w:r>
          </w:p>
        </w:tc>
        <w:tc>
          <w:tcPr>
            <w:tcW w:w="3402"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hint="eastAsia" w:ascii="宋体" w:hAnsi="宋体" w:cs="宋体"/>
                <w:sz w:val="22"/>
                <w:highlight w:val="none"/>
              </w:rPr>
              <w:t>7</w:t>
            </w:r>
          </w:p>
        </w:tc>
        <w:tc>
          <w:tcPr>
            <w:tcW w:w="6945" w:type="dxa"/>
            <w:tcBorders>
              <w:top w:val="nil"/>
              <w:left w:val="nil"/>
              <w:bottom w:val="single" w:color="auto" w:sz="4" w:space="0"/>
              <w:right w:val="single" w:color="auto" w:sz="4" w:space="0"/>
            </w:tcBorders>
            <w:vAlign w:val="center"/>
          </w:tcPr>
          <w:p>
            <w:pPr>
              <w:jc w:val="center"/>
              <w:rPr>
                <w:rFonts w:ascii="宋体" w:cs="宋体"/>
                <w:sz w:val="22"/>
                <w:highlight w:val="none"/>
              </w:rPr>
            </w:pPr>
            <w:r>
              <w:rPr>
                <w:rFonts w:hint="eastAsia" w:ascii="宋体" w:hAnsi="宋体" w:cs="宋体"/>
                <w:sz w:val="22"/>
                <w:highlight w:val="none"/>
              </w:rPr>
              <w:t>1.91</w:t>
            </w:r>
          </w:p>
        </w:tc>
      </w:tr>
    </w:tbl>
    <w:p>
      <w:pPr>
        <w:ind w:firstLine="640"/>
        <w:rPr>
          <w:highlight w:val="none"/>
        </w:rPr>
      </w:pPr>
    </w:p>
    <w:p>
      <w:pPr>
        <w:spacing w:before="10" w:after="10"/>
        <w:ind w:firstLine="640"/>
        <w:outlineLvl w:val="2"/>
        <w:rPr>
          <w:highlight w:val="none"/>
        </w:rPr>
      </w:pPr>
      <w:bookmarkStart w:id="16" w:name="_Toc_3_3_0000000017"/>
      <w:r>
        <w:rPr>
          <w:rFonts w:ascii="黑体" w:hAnsi="黑体" w:eastAsia="黑体" w:cs="黑体"/>
          <w:color w:val="000000"/>
          <w:sz w:val="32"/>
          <w:highlight w:val="none"/>
        </w:rPr>
        <w:t>八、名词解释</w:t>
      </w:r>
      <w:bookmarkEnd w:id="16"/>
    </w:p>
    <w:p>
      <w:pPr>
        <w:spacing w:line="500" w:lineRule="exact"/>
        <w:ind w:firstLine="560"/>
        <w:rPr>
          <w:highlight w:val="none"/>
        </w:rPr>
      </w:pPr>
      <w:r>
        <w:rPr>
          <w:rFonts w:eastAsia="方正仿宋_GBK"/>
          <w:color w:val="000000"/>
          <w:sz w:val="28"/>
          <w:highlight w:val="none"/>
        </w:rPr>
        <w:t>1、</w:t>
      </w:r>
      <w:r>
        <w:rPr>
          <w:rFonts w:eastAsia="方正仿宋_GBK"/>
          <w:b/>
          <w:color w:val="000000"/>
          <w:sz w:val="28"/>
          <w:highlight w:val="none"/>
        </w:rPr>
        <w:t>一般公共预算拨款收入：</w:t>
      </w:r>
      <w:r>
        <w:rPr>
          <w:rFonts w:eastAsia="方正仿宋_GBK"/>
          <w:color w:val="000000"/>
          <w:sz w:val="28"/>
          <w:highlight w:val="none"/>
        </w:rPr>
        <w:t>指</w:t>
      </w:r>
      <w:r>
        <w:rPr>
          <w:rFonts w:hint="eastAsia" w:eastAsia="方正仿宋_GBK"/>
          <w:color w:val="000000"/>
          <w:sz w:val="28"/>
          <w:highlight w:val="none"/>
          <w:lang w:eastAsia="zh-CN"/>
        </w:rPr>
        <w:t>区</w:t>
      </w:r>
      <w:r>
        <w:rPr>
          <w:rFonts w:eastAsia="方正仿宋_GBK"/>
          <w:color w:val="000000"/>
          <w:sz w:val="28"/>
          <w:highlight w:val="none"/>
        </w:rPr>
        <w:t>级财政当年拨付的资金。</w:t>
      </w:r>
    </w:p>
    <w:p>
      <w:pPr>
        <w:spacing w:line="500" w:lineRule="exact"/>
        <w:ind w:firstLine="560"/>
        <w:rPr>
          <w:highlight w:val="none"/>
        </w:rPr>
      </w:pPr>
      <w:r>
        <w:rPr>
          <w:rFonts w:eastAsia="方正仿宋_GBK"/>
          <w:color w:val="000000"/>
          <w:sz w:val="28"/>
          <w:highlight w:val="none"/>
        </w:rPr>
        <w:t>2、</w:t>
      </w:r>
      <w:r>
        <w:rPr>
          <w:rFonts w:eastAsia="方正仿宋_GBK"/>
          <w:b/>
          <w:color w:val="000000"/>
          <w:sz w:val="28"/>
          <w:highlight w:val="none"/>
        </w:rPr>
        <w:t>事业收入：</w:t>
      </w:r>
      <w:r>
        <w:rPr>
          <w:rFonts w:eastAsia="方正仿宋_GBK"/>
          <w:color w:val="000000"/>
          <w:sz w:val="28"/>
          <w:highlight w:val="none"/>
        </w:rPr>
        <w:t>指事业单位开展专业业务活动及辅助活动所取得的收入。</w:t>
      </w:r>
    </w:p>
    <w:p>
      <w:pPr>
        <w:spacing w:line="500" w:lineRule="exact"/>
        <w:ind w:firstLine="560"/>
        <w:rPr>
          <w:highlight w:val="none"/>
        </w:rPr>
      </w:pPr>
      <w:r>
        <w:rPr>
          <w:rFonts w:eastAsia="方正仿宋_GBK"/>
          <w:color w:val="000000"/>
          <w:sz w:val="28"/>
          <w:highlight w:val="none"/>
        </w:rPr>
        <w:t>3、</w:t>
      </w:r>
      <w:r>
        <w:rPr>
          <w:rFonts w:eastAsia="方正仿宋_GBK"/>
          <w:b/>
          <w:color w:val="000000"/>
          <w:sz w:val="28"/>
          <w:highlight w:val="none"/>
        </w:rPr>
        <w:t>其他收入：</w:t>
      </w:r>
      <w:r>
        <w:rPr>
          <w:rFonts w:eastAsia="方正仿宋_GBK"/>
          <w:color w:val="000000"/>
          <w:sz w:val="28"/>
          <w:highlight w:val="none"/>
        </w:rPr>
        <w:t>指除“一般公共预算拨款收入”、“事业收入”等以外的收入。主要是按规定动用的租房收入、存款利息收入等。</w:t>
      </w:r>
    </w:p>
    <w:p>
      <w:pPr>
        <w:spacing w:line="500" w:lineRule="exact"/>
        <w:ind w:firstLine="560"/>
        <w:rPr>
          <w:highlight w:val="none"/>
        </w:rPr>
      </w:pPr>
      <w:r>
        <w:rPr>
          <w:rFonts w:eastAsia="方正仿宋_GBK"/>
          <w:color w:val="000000"/>
          <w:sz w:val="28"/>
          <w:highlight w:val="none"/>
        </w:rPr>
        <w:t>4、</w:t>
      </w:r>
      <w:r>
        <w:rPr>
          <w:rFonts w:eastAsia="方正仿宋_GBK"/>
          <w:b/>
          <w:color w:val="000000"/>
          <w:sz w:val="28"/>
          <w:highlight w:val="none"/>
        </w:rPr>
        <w:t>基本支出：</w:t>
      </w:r>
      <w:r>
        <w:rPr>
          <w:rFonts w:eastAsia="方正仿宋_GBK"/>
          <w:color w:val="000000"/>
          <w:sz w:val="28"/>
          <w:highlight w:val="none"/>
        </w:rPr>
        <w:t>指为保障机构正常运转、完成日常工作任务而发生的人员支出和公用支出。</w:t>
      </w:r>
    </w:p>
    <w:p>
      <w:pPr>
        <w:spacing w:line="500" w:lineRule="exact"/>
        <w:ind w:firstLine="560"/>
        <w:rPr>
          <w:highlight w:val="none"/>
        </w:rPr>
      </w:pPr>
      <w:r>
        <w:rPr>
          <w:rFonts w:eastAsia="方正仿宋_GBK"/>
          <w:color w:val="000000"/>
          <w:sz w:val="28"/>
          <w:highlight w:val="none"/>
        </w:rPr>
        <w:t>5、</w:t>
      </w:r>
      <w:r>
        <w:rPr>
          <w:rFonts w:eastAsia="方正仿宋_GBK"/>
          <w:b/>
          <w:color w:val="000000"/>
          <w:sz w:val="28"/>
          <w:highlight w:val="none"/>
        </w:rPr>
        <w:t>项目支出：</w:t>
      </w:r>
      <w:r>
        <w:rPr>
          <w:rFonts w:eastAsia="方正仿宋_GBK"/>
          <w:color w:val="000000"/>
          <w:sz w:val="28"/>
          <w:highlight w:val="none"/>
        </w:rPr>
        <w:t>指在基本支出之外为完成特定行政任务和事业发展目标所发生的支出。</w:t>
      </w:r>
    </w:p>
    <w:p>
      <w:pPr>
        <w:spacing w:line="500" w:lineRule="exact"/>
        <w:ind w:firstLine="560"/>
        <w:rPr>
          <w:highlight w:val="none"/>
        </w:rPr>
      </w:pPr>
      <w:r>
        <w:rPr>
          <w:rFonts w:eastAsia="方正仿宋_GBK"/>
          <w:color w:val="000000"/>
          <w:sz w:val="28"/>
          <w:highlight w:val="none"/>
        </w:rPr>
        <w:t>6、</w:t>
      </w:r>
      <w:r>
        <w:rPr>
          <w:rFonts w:eastAsia="方正仿宋_GBK"/>
          <w:b/>
          <w:color w:val="000000"/>
          <w:sz w:val="28"/>
          <w:highlight w:val="none"/>
        </w:rPr>
        <w:t>上缴上级支出：</w:t>
      </w:r>
      <w:r>
        <w:rPr>
          <w:rFonts w:eastAsia="方正仿宋_GBK"/>
          <w:color w:val="000000"/>
          <w:sz w:val="28"/>
          <w:highlight w:val="none"/>
        </w:rPr>
        <w:t>指下级单位上缴上级的支出。</w:t>
      </w:r>
    </w:p>
    <w:p>
      <w:pPr>
        <w:spacing w:line="500" w:lineRule="exact"/>
        <w:ind w:firstLine="560"/>
        <w:rPr>
          <w:highlight w:val="none"/>
        </w:rPr>
      </w:pPr>
      <w:r>
        <w:rPr>
          <w:rFonts w:eastAsia="方正仿宋_GBK"/>
          <w:color w:val="000000"/>
          <w:sz w:val="28"/>
          <w:highlight w:val="none"/>
        </w:rPr>
        <w:t>7、</w:t>
      </w:r>
      <w:r>
        <w:rPr>
          <w:rFonts w:eastAsia="方正仿宋_GBK"/>
          <w:b/>
          <w:color w:val="000000"/>
          <w:sz w:val="28"/>
          <w:highlight w:val="none"/>
        </w:rPr>
        <w:t>“三公”经费：</w:t>
      </w:r>
      <w:r>
        <w:rPr>
          <w:rFonts w:eastAsia="方正仿宋_GBK"/>
          <w:color w:val="000000"/>
          <w:sz w:val="28"/>
          <w:highlight w:val="none"/>
        </w:rPr>
        <w:t>纳入</w:t>
      </w:r>
      <w:r>
        <w:rPr>
          <w:rFonts w:hint="eastAsia" w:eastAsia="方正仿宋_GBK"/>
          <w:color w:val="000000"/>
          <w:sz w:val="28"/>
          <w:highlight w:val="none"/>
          <w:lang w:eastAsia="zh-CN"/>
        </w:rPr>
        <w:t>区</w:t>
      </w:r>
      <w:r>
        <w:rPr>
          <w:rFonts w:eastAsia="方正仿宋_GBK"/>
          <w:color w:val="000000"/>
          <w:sz w:val="28"/>
          <w:highlight w:val="none"/>
        </w:rPr>
        <w:t>级财政预算管理的“三公”经费，是指</w:t>
      </w:r>
      <w:r>
        <w:rPr>
          <w:rFonts w:hint="eastAsia" w:eastAsia="方正仿宋_GBK"/>
          <w:color w:val="000000"/>
          <w:sz w:val="28"/>
          <w:highlight w:val="none"/>
          <w:lang w:eastAsia="zh-CN"/>
        </w:rPr>
        <w:t>区</w:t>
      </w:r>
      <w:r>
        <w:rPr>
          <w:rFonts w:eastAsia="方正仿宋_GBK"/>
          <w:color w:val="000000"/>
          <w:sz w:val="28"/>
          <w:highlight w:val="none"/>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highlight w:val="none"/>
        </w:rPr>
      </w:pPr>
      <w:r>
        <w:rPr>
          <w:rFonts w:eastAsia="方正仿宋_GBK"/>
          <w:color w:val="000000"/>
          <w:sz w:val="28"/>
          <w:highlight w:val="none"/>
        </w:rPr>
        <w:t>8、</w:t>
      </w:r>
      <w:r>
        <w:rPr>
          <w:rFonts w:eastAsia="方正仿宋_GBK"/>
          <w:b/>
          <w:color w:val="000000"/>
          <w:sz w:val="28"/>
          <w:highlight w:val="none"/>
        </w:rPr>
        <w:t>机关运行费：</w:t>
      </w:r>
      <w:r>
        <w:rPr>
          <w:rFonts w:eastAsia="方正仿宋_GBK"/>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highlight w:val="none"/>
        </w:rPr>
      </w:pPr>
      <w:r>
        <w:rPr>
          <w:rFonts w:eastAsia="方正仿宋_GBK"/>
          <w:color w:val="000000"/>
          <w:sz w:val="28"/>
          <w:highlight w:val="none"/>
        </w:rPr>
        <w:t>9、</w:t>
      </w:r>
      <w:r>
        <w:rPr>
          <w:rFonts w:eastAsia="方正仿宋_GBK"/>
          <w:b/>
          <w:color w:val="000000"/>
          <w:sz w:val="28"/>
          <w:highlight w:val="none"/>
        </w:rPr>
        <w:t>上年结转：</w:t>
      </w:r>
      <w:r>
        <w:rPr>
          <w:rFonts w:eastAsia="方正仿宋_GBK"/>
          <w:color w:val="000000"/>
          <w:sz w:val="28"/>
          <w:highlight w:val="none"/>
        </w:rPr>
        <w:t>指以前年度尚未完成、结转到本年仍按原规定用途继续使用的资金。</w:t>
      </w:r>
    </w:p>
    <w:p>
      <w:pPr>
        <w:spacing w:line="500" w:lineRule="exact"/>
        <w:ind w:firstLine="560"/>
        <w:rPr>
          <w:highlight w:val="none"/>
        </w:rPr>
      </w:pPr>
      <w:r>
        <w:rPr>
          <w:rFonts w:eastAsia="方正仿宋_GBK"/>
          <w:color w:val="000000"/>
          <w:sz w:val="28"/>
          <w:highlight w:val="none"/>
        </w:rPr>
        <w:t>10、</w:t>
      </w:r>
      <w:r>
        <w:rPr>
          <w:rFonts w:eastAsia="方正仿宋_GBK"/>
          <w:b/>
          <w:color w:val="000000"/>
          <w:sz w:val="28"/>
          <w:highlight w:val="none"/>
        </w:rPr>
        <w:t>事业单位经营支出：</w:t>
      </w:r>
      <w:r>
        <w:rPr>
          <w:rFonts w:eastAsia="方正仿宋_GBK"/>
          <w:color w:val="000000"/>
          <w:sz w:val="28"/>
          <w:highlight w:val="none"/>
        </w:rPr>
        <w:t>指事业单位在专业业务活动及其辅助活动之外开展非独立核算经营活动发生的支出。</w:t>
      </w:r>
    </w:p>
    <w:p>
      <w:pPr>
        <w:spacing w:before="10" w:after="10"/>
        <w:ind w:firstLine="640"/>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pPr>
        <w:spacing w:line="500" w:lineRule="exact"/>
        <w:ind w:firstLine="560"/>
        <w:rPr>
          <w:highlight w:val="none"/>
          <w:lang w:eastAsia="zh-CN"/>
        </w:rPr>
        <w:sectPr>
          <w:pgSz w:w="16840" w:h="11900" w:orient="landscape"/>
          <w:pgMar w:top="1361" w:right="1020" w:bottom="1134" w:left="1020" w:header="720" w:footer="720" w:gutter="0"/>
          <w:cols w:space="720" w:num="1"/>
        </w:sectPr>
      </w:pPr>
      <w:r>
        <w:rPr>
          <w:rFonts w:eastAsia="方正仿宋_GBK"/>
          <w:color w:val="000000"/>
          <w:sz w:val="28"/>
          <w:highlight w:val="none"/>
        </w:rPr>
        <w:t>我部门无其他需要说明的事项</w:t>
      </w:r>
    </w:p>
    <w:p>
      <w:pPr>
        <w:rPr>
          <w:rFonts w:eastAsiaTheme="minorEastAsia"/>
          <w:highlight w:val="none"/>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true"/>
  <w:bordersDoNotSurroundFooter w:val="tru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DE2Y2RhMjNkMGJkNjAxMDg2YmU2NjA5NzAzNzY2YjQifQ=="/>
  </w:docVars>
  <w:rsids>
    <w:rsidRoot w:val="0089107A"/>
    <w:rsid w:val="00022B6B"/>
    <w:rsid w:val="0002451C"/>
    <w:rsid w:val="000452B9"/>
    <w:rsid w:val="00054888"/>
    <w:rsid w:val="00056F42"/>
    <w:rsid w:val="0007217E"/>
    <w:rsid w:val="00086A4D"/>
    <w:rsid w:val="000A741C"/>
    <w:rsid w:val="0015533A"/>
    <w:rsid w:val="0016472F"/>
    <w:rsid w:val="001B4C59"/>
    <w:rsid w:val="001F67E6"/>
    <w:rsid w:val="0022128A"/>
    <w:rsid w:val="002217D1"/>
    <w:rsid w:val="00290B1D"/>
    <w:rsid w:val="00311F36"/>
    <w:rsid w:val="00330C88"/>
    <w:rsid w:val="00344A8B"/>
    <w:rsid w:val="0036357C"/>
    <w:rsid w:val="00384B21"/>
    <w:rsid w:val="003C0C6C"/>
    <w:rsid w:val="003D355F"/>
    <w:rsid w:val="003F4FB2"/>
    <w:rsid w:val="00445AD6"/>
    <w:rsid w:val="00451081"/>
    <w:rsid w:val="0047169A"/>
    <w:rsid w:val="004A568D"/>
    <w:rsid w:val="004B78CE"/>
    <w:rsid w:val="004D77EE"/>
    <w:rsid w:val="004F47E4"/>
    <w:rsid w:val="00522787"/>
    <w:rsid w:val="005248A7"/>
    <w:rsid w:val="00527F39"/>
    <w:rsid w:val="005466E8"/>
    <w:rsid w:val="00550D64"/>
    <w:rsid w:val="005655D8"/>
    <w:rsid w:val="005A7C51"/>
    <w:rsid w:val="00605C7B"/>
    <w:rsid w:val="00651B47"/>
    <w:rsid w:val="006C3ECC"/>
    <w:rsid w:val="006F3938"/>
    <w:rsid w:val="00733EF6"/>
    <w:rsid w:val="007437CC"/>
    <w:rsid w:val="00780886"/>
    <w:rsid w:val="00797258"/>
    <w:rsid w:val="007A7149"/>
    <w:rsid w:val="00805930"/>
    <w:rsid w:val="00806296"/>
    <w:rsid w:val="00830D3E"/>
    <w:rsid w:val="00834CCE"/>
    <w:rsid w:val="0089107A"/>
    <w:rsid w:val="008A66B7"/>
    <w:rsid w:val="008B4C58"/>
    <w:rsid w:val="008F7787"/>
    <w:rsid w:val="00973C3B"/>
    <w:rsid w:val="009A240E"/>
    <w:rsid w:val="009B15EE"/>
    <w:rsid w:val="009D7FC1"/>
    <w:rsid w:val="009F70AF"/>
    <w:rsid w:val="00A06B5D"/>
    <w:rsid w:val="00A56A16"/>
    <w:rsid w:val="00AA279A"/>
    <w:rsid w:val="00AB3731"/>
    <w:rsid w:val="00AD64BD"/>
    <w:rsid w:val="00B45378"/>
    <w:rsid w:val="00B55E33"/>
    <w:rsid w:val="00B8075E"/>
    <w:rsid w:val="00BC597F"/>
    <w:rsid w:val="00BD00B7"/>
    <w:rsid w:val="00BD7FC8"/>
    <w:rsid w:val="00BE1634"/>
    <w:rsid w:val="00C24EAE"/>
    <w:rsid w:val="00C7651A"/>
    <w:rsid w:val="00CD032C"/>
    <w:rsid w:val="00D10E21"/>
    <w:rsid w:val="00D30F1C"/>
    <w:rsid w:val="00D611DB"/>
    <w:rsid w:val="00D7412C"/>
    <w:rsid w:val="00DA32AE"/>
    <w:rsid w:val="00DA5D29"/>
    <w:rsid w:val="00DA7859"/>
    <w:rsid w:val="00DE46C6"/>
    <w:rsid w:val="00E77CF1"/>
    <w:rsid w:val="00EB2D04"/>
    <w:rsid w:val="00ED4DCA"/>
    <w:rsid w:val="00EE0A99"/>
    <w:rsid w:val="00F03718"/>
    <w:rsid w:val="00F40F2F"/>
    <w:rsid w:val="00F44DCF"/>
    <w:rsid w:val="00F7722B"/>
    <w:rsid w:val="00FB56E3"/>
    <w:rsid w:val="00FC3D16"/>
    <w:rsid w:val="364C24E3"/>
    <w:rsid w:val="4DD202A0"/>
    <w:rsid w:val="70CE64BA"/>
    <w:rsid w:val="75EF192E"/>
    <w:rsid w:val="FEB36C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8"/>
    <w:semiHidden/>
    <w:unhideWhenUsed/>
    <w:qFormat/>
    <w:uiPriority w:val="99"/>
    <w:pPr>
      <w:tabs>
        <w:tab w:val="center" w:pos="4153"/>
        <w:tab w:val="right" w:pos="8306"/>
      </w:tabs>
      <w:snapToGrid w:val="0"/>
    </w:pPr>
    <w:rPr>
      <w:sz w:val="18"/>
      <w:szCs w:val="18"/>
    </w:rPr>
  </w:style>
  <w:style w:type="paragraph" w:styleId="3">
    <w:name w:val="header"/>
    <w:basedOn w:val="1"/>
    <w:link w:val="3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a24c9b52-0118-4f0d-86e4-f943e36ec504"/>
    <w:qFormat/>
    <w:uiPriority w:val="0"/>
    <w:rPr>
      <w:rFonts w:ascii="Times New Roman" w:hAnsi="Times New Roman" w:eastAsia="Times New Roman" w:cs="Times New Roman"/>
      <w:sz w:val="24"/>
      <w:szCs w:val="24"/>
      <w:lang w:val="en-US" w:eastAsia="uk-UA" w:bidi="ar-SA"/>
    </w:rPr>
  </w:style>
  <w:style w:type="paragraph" w:customStyle="1" w:styleId="25">
    <w:name w:val="单元格样式1_e7d57f86-57e2-4861-8f93-99768301856c"/>
    <w:basedOn w:val="1"/>
    <w:qFormat/>
    <w:uiPriority w:val="0"/>
    <w:pPr>
      <w:jc w:val="center"/>
    </w:pPr>
    <w:rPr>
      <w:rFonts w:ascii="方正书宋_GBK" w:hAnsi="方正书宋_GBK" w:eastAsia="方正书宋_GBK" w:cs="方正书宋_GBK"/>
      <w:b/>
      <w:sz w:val="21"/>
    </w:rPr>
  </w:style>
  <w:style w:type="paragraph" w:customStyle="1" w:styleId="26">
    <w:name w:val="单元格样式2_6d44b533-4606-46bc-ad05-b3f3b1561879"/>
    <w:basedOn w:val="1"/>
    <w:qFormat/>
    <w:uiPriority w:val="0"/>
    <w:rPr>
      <w:rFonts w:ascii="方正书宋_GBK" w:hAnsi="方正书宋_GBK" w:eastAsia="方正书宋_GBK" w:cs="方正书宋_GBK"/>
      <w:sz w:val="21"/>
    </w:rPr>
  </w:style>
  <w:style w:type="paragraph" w:customStyle="1" w:styleId="27">
    <w:name w:val="单元格样式3_1870e631-795b-4949-bd92-3e5e165a4cac"/>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qFormat/>
    <w:uiPriority w:val="99"/>
    <w:rPr>
      <w:rFonts w:eastAsia="Times New Roman"/>
      <w:sz w:val="18"/>
      <w:szCs w:val="18"/>
      <w:lang w:eastAsia="uk-UA"/>
    </w:rPr>
  </w:style>
  <w:style w:type="character" w:customStyle="1" w:styleId="38">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6580</Words>
  <Characters>7291</Characters>
  <Lines>72</Lines>
  <Paragraphs>20</Paragraphs>
  <TotalTime>198</TotalTime>
  <ScaleCrop>false</ScaleCrop>
  <LinksUpToDate>false</LinksUpToDate>
  <CharactersWithSpaces>7489</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2022-02-10T22:36:00Z</dcterms:created>
  <dc:creator>Administrator</dc:creator>
  <cp:lastModifiedBy>uos</cp:lastModifiedBy>
  <cp:lastPrinted>2023-08-02T09:29:00Z</cp:lastPrinted>
  <dcterms:modified xsi:type="dcterms:W3CDTF">2024-01-15T16:04:39Z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1CBD6B26CB3B4DD8BD91977715CA9FDD</vt:lpwstr>
  </property>
</Properties>
</file>